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auto"/>
          <w:sz w:val="44"/>
          <w:szCs w:val="44"/>
          <w:vertAlign w:val="baseline"/>
          <w:lang w:val="en-US" w:eastAsia="zh-CN"/>
        </w:rPr>
      </w:pPr>
      <w:r>
        <w:rPr>
          <w:rFonts w:hint="eastAsia" w:ascii="方正小标宋简体" w:hAnsi="方正小标宋简体" w:eastAsia="方正小标宋简体" w:cs="方正小标宋简体"/>
          <w:b w:val="0"/>
          <w:bCs w:val="0"/>
          <w:color w:val="auto"/>
          <w:sz w:val="44"/>
          <w:szCs w:val="44"/>
          <w:vertAlign w:val="baseline"/>
          <w:lang w:val="en-US" w:eastAsia="zh-CN"/>
        </w:rPr>
        <w:t>聊城市退役军人事务局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auto"/>
          <w:sz w:val="44"/>
          <w:szCs w:val="44"/>
          <w:vertAlign w:val="baseline"/>
          <w:lang w:val="en-US" w:eastAsia="zh-CN"/>
        </w:rPr>
      </w:pPr>
      <w:r>
        <w:rPr>
          <w:rFonts w:hint="eastAsia" w:ascii="方正小标宋简体" w:hAnsi="方正小标宋简体" w:eastAsia="方正小标宋简体" w:cs="方正小标宋简体"/>
          <w:b w:val="0"/>
          <w:bCs w:val="0"/>
          <w:color w:val="auto"/>
          <w:sz w:val="44"/>
          <w:szCs w:val="44"/>
          <w:vertAlign w:val="baseline"/>
          <w:lang w:val="en-US" w:eastAsia="zh-CN"/>
        </w:rPr>
        <w:t>2023年政府信息公开工作年度报告</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_GB2312" w:hAnsi="楷体_GB2312" w:eastAsia="楷体_GB2312" w:cs="楷体_GB2312"/>
          <w:b/>
          <w:bCs/>
          <w:color w:val="auto"/>
          <w:sz w:val="32"/>
          <w:szCs w:val="32"/>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sz w:val="32"/>
          <w:szCs w:val="32"/>
          <w:lang w:val="en-US" w:eastAsia="zh-CN"/>
        </w:rPr>
      </w:pPr>
      <w:r>
        <w:rPr>
          <w:rFonts w:hint="eastAsia"/>
          <w:sz w:val="32"/>
          <w:szCs w:val="32"/>
          <w:lang w:val="en-US" w:eastAsia="zh-CN"/>
        </w:rPr>
        <w:t>本年度报告根据《中华人民共和国政府信息公开条例》和《国务院办公厅政府信息与政务公开办公室关于印发&lt;中华人民共和国政府信息公开工作年度报告格式&gt;的通知》（国办公开办函〔2021〕30号）相关要求编制，内容包括总体情况、主动公开政府信息情况、收到和处理政府信息公开申请情况、政府信息公开行政复议和行政诉讼情况、存在的主要问题及改进情况、其他需要报告的事项等六个部分。本年度报告中所列数据统计期限从2023年1月1日到2023年12月31日。</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sz w:val="32"/>
          <w:szCs w:val="32"/>
          <w:lang w:val="en-US" w:eastAsia="zh-CN"/>
        </w:rPr>
      </w:pPr>
      <w:r>
        <w:rPr>
          <w:rFonts w:hint="eastAsia"/>
          <w:sz w:val="32"/>
          <w:szCs w:val="32"/>
          <w:lang w:val="en-US" w:eastAsia="zh-CN"/>
        </w:rPr>
        <w:t>2023年，市退役军人事务局坚持以习近平新时代中国特色社会主义思想为指导，深入贯彻落实政务公开工作各项部署要求，完善制度机制、坚持规范提升、狠抓任务落实，有力推动全市退役军人政务公开工作提质增效。</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（一）主动公开</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sz w:val="32"/>
          <w:szCs w:val="32"/>
          <w:lang w:val="en-US" w:eastAsia="zh-CN"/>
        </w:rPr>
      </w:pPr>
      <w:r>
        <w:rPr>
          <w:rFonts w:hint="eastAsia"/>
          <w:sz w:val="32"/>
          <w:szCs w:val="32"/>
          <w:lang w:val="en-US" w:eastAsia="zh-CN"/>
        </w:rPr>
        <w:t>及时更新法定主动公开目录，健全法定主动公开内容，提升信息发布质效。2023年，市退役军人事务局主动公开政府信息905条。在政府信息公开目录上主动公开政府信息总数80条；市退役军人事务局网站发布内容430条，总访问量4万余次；市退役军人事务局微信公众号发布内容395条，点击量24万人次。年度内主动公开的所有政策性文件和重大事项均同步配发解读信息，邀请专家学者、新闻媒体开展多角度解读12余次，局主要负责同志和分管负责同志带头解读有关政策4次，政策解读全面性和规范性不断提升。</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（二）依申请公开</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sz w:val="32"/>
          <w:szCs w:val="32"/>
          <w:lang w:val="en-US" w:eastAsia="zh-CN"/>
        </w:rPr>
      </w:pPr>
      <w:r>
        <w:rPr>
          <w:rFonts w:hint="eastAsia"/>
          <w:sz w:val="32"/>
          <w:szCs w:val="32"/>
          <w:lang w:val="en-US" w:eastAsia="zh-CN"/>
        </w:rPr>
        <w:t>持续健全信息公开申请办理机制，共受理政策咨询、查阅资料等信息公开申请4件，均为自然人申请，通过聊城市政府政务公开平台以及信件的方式进行了答复，充分保障人民群众知情权。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（三）政府信息管理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sz w:val="32"/>
          <w:szCs w:val="32"/>
          <w:lang w:val="en-US" w:eastAsia="zh-CN"/>
        </w:rPr>
      </w:pPr>
      <w:r>
        <w:rPr>
          <w:rFonts w:hint="eastAsia"/>
          <w:sz w:val="32"/>
          <w:szCs w:val="32"/>
          <w:lang w:val="en-US" w:eastAsia="zh-CN"/>
        </w:rPr>
        <w:t>健全完善信息公开属性源头认定、决策预公开、信息公开保密审查等制度机制，规范信息发布流程。加强行政规范性文件公开管理，做好专题专栏更新维护，及时公开文件清理结果。加大重点领域信息公开力度，及时公开承诺事项完成情况。加强许可处罚、行政执法公示、“双随机、一公开”监管等信息汇聚整合，信息公开规范性不断提升。</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（四）政府信息公开平台建设</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sz w:val="32"/>
          <w:szCs w:val="32"/>
          <w:lang w:val="en-US" w:eastAsia="zh-CN"/>
        </w:rPr>
        <w:t>持续健全网站栏目设置，优化政策解读、互动交流、调查征集栏目功能。定期开展网站清查，完善站内检索功能。加强新媒体平台建设，及时对重要政策、重点规划、重大活动以及上级部署等开展落实情况进行发布和解读，积极运用图文并茂、答疑解惑等通俗易懂的解读方式，帮助公众理解各类政策。</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（五）监督保障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sz w:val="32"/>
          <w:szCs w:val="32"/>
          <w:lang w:val="en-US" w:eastAsia="zh-CN"/>
        </w:rPr>
      </w:pPr>
      <w:r>
        <w:rPr>
          <w:rFonts w:hint="eastAsia"/>
          <w:sz w:val="32"/>
          <w:szCs w:val="32"/>
          <w:lang w:val="en-US" w:eastAsia="zh-CN"/>
        </w:rPr>
        <w:t>为了让公民、法人和其他组织畅通依法获取政府信息的申请渠道，完善了《聊城市退役军人事务局政府信息公开指南》，按</w:t>
      </w:r>
      <w:bookmarkStart w:id="0" w:name="_GoBack"/>
      <w:bookmarkEnd w:id="0"/>
      <w:r>
        <w:rPr>
          <w:rFonts w:hint="eastAsia"/>
          <w:sz w:val="32"/>
          <w:szCs w:val="32"/>
          <w:lang w:val="en-US" w:eastAsia="zh-CN"/>
        </w:rPr>
        <w:t>照“谁收到、谁处理”的原则办理，编制依申请公开工作流程。本年度召开2次政务公开专题培训会、2次政务公开推进会议。</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二、主动公开政府信息情况</w:t>
      </w:r>
    </w:p>
    <w:tbl>
      <w:tblPr>
        <w:tblStyle w:val="9"/>
        <w:tblpPr w:leftFromText="180" w:rightFromText="180" w:vertAnchor="text" w:horzAnchor="page" w:tblpX="3614" w:tblpY="299"/>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20"/>
        <w:gridCol w:w="1140"/>
        <w:gridCol w:w="1140"/>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nil"/>
              <w:left w:val="single" w:color="000000" w:sz="4" w:space="0"/>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信息内容</w:t>
            </w:r>
          </w:p>
        </w:tc>
        <w:tc>
          <w:tcPr>
            <w:tcW w:w="0" w:type="auto"/>
            <w:tcBorders>
              <w:top w:val="single" w:color="000000" w:sz="4" w:space="0"/>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本年制发件数</w:t>
            </w:r>
          </w:p>
        </w:tc>
        <w:tc>
          <w:tcPr>
            <w:tcW w:w="0" w:type="auto"/>
            <w:tcBorders>
              <w:top w:val="single" w:color="000000" w:sz="4" w:space="0"/>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本年废止件数</w:t>
            </w:r>
          </w:p>
        </w:tc>
        <w:tc>
          <w:tcPr>
            <w:tcW w:w="0" w:type="auto"/>
            <w:tcBorders>
              <w:top w:val="single" w:color="000000" w:sz="4" w:space="0"/>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nil"/>
              <w:left w:val="single" w:color="000000" w:sz="4" w:space="0"/>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规章</w:t>
            </w:r>
          </w:p>
        </w:tc>
        <w:tc>
          <w:tcPr>
            <w:tcW w:w="0" w:type="auto"/>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0" w:type="auto"/>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0" w:type="auto"/>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nil"/>
              <w:left w:val="single" w:color="000000" w:sz="4" w:space="0"/>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行政规范性文件</w:t>
            </w:r>
          </w:p>
        </w:tc>
        <w:tc>
          <w:tcPr>
            <w:tcW w:w="0" w:type="auto"/>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rFonts w:hint="eastAsia" w:eastAsiaTheme="minorEastAsia"/>
                <w:sz w:val="14"/>
                <w:szCs w:val="14"/>
                <w:lang w:eastAsia="zh-CN"/>
              </w:rPr>
            </w:pPr>
            <w:r>
              <w:rPr>
                <w:rFonts w:hint="eastAsia" w:ascii="宋体" w:hAnsi="宋体" w:eastAsia="宋体" w:cs="宋体"/>
                <w:b/>
                <w:bCs/>
                <w:i w:val="0"/>
                <w:iCs w:val="0"/>
                <w:caps w:val="0"/>
                <w:color w:val="333333"/>
                <w:spacing w:val="0"/>
                <w:sz w:val="18"/>
                <w:szCs w:val="18"/>
                <w:lang w:val="en-US" w:eastAsia="zh-CN"/>
              </w:rPr>
              <w:t>1</w:t>
            </w:r>
          </w:p>
        </w:tc>
        <w:tc>
          <w:tcPr>
            <w:tcW w:w="0" w:type="auto"/>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0" w:type="auto"/>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rFonts w:hint="default" w:eastAsiaTheme="minorEastAsia"/>
                <w:sz w:val="14"/>
                <w:szCs w:val="14"/>
                <w:lang w:val="en-US" w:eastAsia="zh-CN"/>
              </w:rPr>
            </w:pPr>
            <w:r>
              <w:rPr>
                <w:rFonts w:hint="eastAsia" w:ascii="宋体" w:hAnsi="宋体" w:eastAsia="宋体" w:cs="宋体"/>
                <w:b/>
                <w:bCs/>
                <w:i w:val="0"/>
                <w:iCs w:val="0"/>
                <w:caps w:val="0"/>
                <w:color w:val="333333"/>
                <w:spacing w:val="0"/>
                <w:sz w:val="18"/>
                <w:szCs w:val="18"/>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4"/>
            <w:tcBorders>
              <w:top w:val="nil"/>
              <w:left w:val="single" w:color="000000" w:sz="4" w:space="0"/>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nil"/>
              <w:left w:val="single" w:color="000000" w:sz="4" w:space="0"/>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信息内容</w:t>
            </w:r>
          </w:p>
        </w:tc>
        <w:tc>
          <w:tcPr>
            <w:tcW w:w="0" w:type="auto"/>
            <w:gridSpan w:val="3"/>
            <w:tcBorders>
              <w:top w:val="single" w:color="000000" w:sz="4" w:space="0"/>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nil"/>
              <w:left w:val="single" w:color="000000" w:sz="4" w:space="0"/>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行政许可</w:t>
            </w:r>
          </w:p>
        </w:tc>
        <w:tc>
          <w:tcPr>
            <w:tcW w:w="0" w:type="auto"/>
            <w:gridSpan w:val="3"/>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4"/>
            <w:tcBorders>
              <w:top w:val="nil"/>
              <w:left w:val="single" w:color="000000" w:sz="4" w:space="0"/>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nil"/>
              <w:left w:val="single" w:color="000000" w:sz="4" w:space="0"/>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信息内容</w:t>
            </w:r>
          </w:p>
        </w:tc>
        <w:tc>
          <w:tcPr>
            <w:tcW w:w="0" w:type="auto"/>
            <w:gridSpan w:val="3"/>
            <w:tcBorders>
              <w:top w:val="single" w:color="000000" w:sz="4" w:space="0"/>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nil"/>
              <w:left w:val="single" w:color="000000" w:sz="4" w:space="0"/>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行政处罚</w:t>
            </w:r>
          </w:p>
        </w:tc>
        <w:tc>
          <w:tcPr>
            <w:tcW w:w="0" w:type="auto"/>
            <w:gridSpan w:val="3"/>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nil"/>
              <w:left w:val="single" w:color="000000" w:sz="4" w:space="0"/>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行政强制</w:t>
            </w:r>
          </w:p>
        </w:tc>
        <w:tc>
          <w:tcPr>
            <w:tcW w:w="0" w:type="auto"/>
            <w:gridSpan w:val="3"/>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4"/>
            <w:tcBorders>
              <w:top w:val="nil"/>
              <w:left w:val="single" w:color="000000" w:sz="4" w:space="0"/>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nil"/>
              <w:left w:val="single" w:color="000000" w:sz="4" w:space="0"/>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信息内容</w:t>
            </w:r>
          </w:p>
        </w:tc>
        <w:tc>
          <w:tcPr>
            <w:tcW w:w="0" w:type="auto"/>
            <w:gridSpan w:val="3"/>
            <w:tcBorders>
              <w:top w:val="single" w:color="000000" w:sz="4" w:space="0"/>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nil"/>
              <w:left w:val="single" w:color="000000" w:sz="4" w:space="0"/>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行政事业性收费</w:t>
            </w:r>
          </w:p>
        </w:tc>
        <w:tc>
          <w:tcPr>
            <w:tcW w:w="0" w:type="auto"/>
            <w:gridSpan w:val="3"/>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r>
    </w:tbl>
    <w:p>
      <w:pPr>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sz w:val="32"/>
          <w:szCs w:val="32"/>
          <w:lang w:val="en-US" w:eastAsia="zh-CN"/>
        </w:rPr>
      </w:pPr>
    </w:p>
    <w:p>
      <w:pPr>
        <w:rPr>
          <w:rFonts w:hint="eastAsia"/>
          <w:sz w:val="32"/>
          <w:szCs w:val="32"/>
          <w:lang w:val="en-US" w:eastAsia="zh-CN"/>
        </w:rPr>
      </w:pPr>
    </w:p>
    <w:p>
      <w:pPr>
        <w:pStyle w:val="2"/>
        <w:rPr>
          <w:rFonts w:hint="eastAsia"/>
          <w:sz w:val="32"/>
          <w:szCs w:val="32"/>
          <w:lang w:val="en-US" w:eastAsia="zh-CN"/>
        </w:rPr>
      </w:pPr>
    </w:p>
    <w:p>
      <w:pPr>
        <w:rPr>
          <w:rFonts w:hint="eastAsia"/>
          <w:sz w:val="32"/>
          <w:szCs w:val="32"/>
          <w:lang w:val="en-US" w:eastAsia="zh-CN"/>
        </w:rPr>
      </w:pPr>
    </w:p>
    <w:p>
      <w:pPr>
        <w:pStyle w:val="2"/>
        <w:rPr>
          <w:rFonts w:hint="eastAsia"/>
          <w:sz w:val="32"/>
          <w:szCs w:val="32"/>
          <w:lang w:val="en-US" w:eastAsia="zh-CN"/>
        </w:rPr>
      </w:pPr>
    </w:p>
    <w:p>
      <w:pPr>
        <w:rPr>
          <w:rFonts w:hint="eastAsia"/>
          <w:sz w:val="32"/>
          <w:szCs w:val="32"/>
          <w:lang w:val="en-US" w:eastAsia="zh-CN"/>
        </w:rPr>
      </w:pPr>
    </w:p>
    <w:p>
      <w:pPr>
        <w:pStyle w:val="2"/>
        <w:rPr>
          <w:rFonts w:hint="eastAsia"/>
          <w:sz w:val="32"/>
          <w:szCs w:val="32"/>
          <w:lang w:val="en-US" w:eastAsia="zh-CN"/>
        </w:rPr>
      </w:pPr>
    </w:p>
    <w:p>
      <w:pPr>
        <w:rPr>
          <w:rFonts w:hint="eastAsia"/>
          <w:sz w:val="32"/>
          <w:szCs w:val="32"/>
          <w:lang w:val="en-US" w:eastAsia="zh-CN"/>
        </w:rPr>
      </w:pPr>
    </w:p>
    <w:p>
      <w:pPr>
        <w:pStyle w:val="2"/>
        <w:rPr>
          <w:rFonts w:hint="eastAsia"/>
          <w:sz w:val="32"/>
          <w:szCs w:val="32"/>
          <w:lang w:val="en-US" w:eastAsia="zh-CN"/>
        </w:rPr>
      </w:pPr>
    </w:p>
    <w:p>
      <w:pPr>
        <w:rPr>
          <w:rFonts w:hint="eastAsia"/>
          <w:sz w:val="32"/>
          <w:szCs w:val="32"/>
          <w:lang w:val="en-US" w:eastAsia="zh-CN"/>
        </w:rPr>
      </w:pPr>
    </w:p>
    <w:p>
      <w:pPr>
        <w:pStyle w:val="2"/>
        <w:rPr>
          <w:rFonts w:hint="eastAsia"/>
          <w:sz w:val="32"/>
          <w:szCs w:val="32"/>
          <w:lang w:val="en-US" w:eastAsia="zh-CN"/>
        </w:rPr>
      </w:pPr>
    </w:p>
    <w:p>
      <w:pPr>
        <w:rPr>
          <w:rFonts w:hint="eastAsia"/>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9"/>
        <w:tblpPr w:leftFromText="180" w:rightFromText="180" w:vertAnchor="text" w:horzAnchor="page" w:tblpX="3234" w:tblpY="466"/>
        <w:tblOverlap w:val="never"/>
        <w:tblW w:w="59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80"/>
        <w:gridCol w:w="690"/>
        <w:gridCol w:w="1000"/>
        <w:gridCol w:w="380"/>
        <w:gridCol w:w="570"/>
        <w:gridCol w:w="570"/>
        <w:gridCol w:w="660"/>
        <w:gridCol w:w="660"/>
        <w:gridCol w:w="470"/>
        <w:gridCol w:w="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17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30" w:type="dxa"/>
              <w:left w:w="50" w:type="dxa"/>
              <w:bottom w:w="30" w:type="dxa"/>
              <w:right w:w="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（本列数据的勾稽关系为：第一项加第二项之和，等于第三项加第四项之和）</w:t>
            </w:r>
          </w:p>
        </w:tc>
        <w:tc>
          <w:tcPr>
            <w:tcW w:w="3780" w:type="dxa"/>
            <w:gridSpan w:val="7"/>
            <w:tcBorders>
              <w:top w:val="single" w:color="000000" w:sz="4" w:space="0"/>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17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30" w:type="dxa"/>
              <w:left w:w="50" w:type="dxa"/>
              <w:bottom w:w="30" w:type="dxa"/>
              <w:right w:w="50" w:type="dxa"/>
            </w:tcMar>
            <w:vAlign w:val="center"/>
          </w:tcPr>
          <w:p>
            <w:pPr>
              <w:jc w:val="center"/>
              <w:rPr>
                <w:rFonts w:hint="eastAsia" w:ascii="微软雅黑" w:hAnsi="微软雅黑" w:eastAsia="微软雅黑" w:cs="微软雅黑"/>
                <w:i w:val="0"/>
                <w:iCs w:val="0"/>
                <w:caps w:val="0"/>
                <w:color w:val="333333"/>
                <w:spacing w:val="0"/>
                <w:sz w:val="14"/>
                <w:szCs w:val="14"/>
              </w:rPr>
            </w:pPr>
          </w:p>
        </w:tc>
        <w:tc>
          <w:tcPr>
            <w:tcW w:w="380" w:type="dxa"/>
            <w:vMerge w:val="restart"/>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自然人</w:t>
            </w:r>
          </w:p>
        </w:tc>
        <w:tc>
          <w:tcPr>
            <w:tcW w:w="2930" w:type="dxa"/>
            <w:gridSpan w:val="5"/>
            <w:tcBorders>
              <w:top w:val="single" w:color="000000" w:sz="4" w:space="0"/>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法人或其他组织</w:t>
            </w:r>
          </w:p>
        </w:tc>
        <w:tc>
          <w:tcPr>
            <w:tcW w:w="470" w:type="dxa"/>
            <w:vMerge w:val="restart"/>
            <w:tcBorders>
              <w:top w:val="single" w:color="000000" w:sz="4" w:space="0"/>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17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30" w:type="dxa"/>
              <w:left w:w="50" w:type="dxa"/>
              <w:bottom w:w="30" w:type="dxa"/>
              <w:right w:w="50" w:type="dxa"/>
            </w:tcMar>
            <w:vAlign w:val="center"/>
          </w:tcPr>
          <w:p>
            <w:pPr>
              <w:jc w:val="center"/>
              <w:rPr>
                <w:rFonts w:hint="eastAsia" w:ascii="微软雅黑" w:hAnsi="微软雅黑" w:eastAsia="微软雅黑" w:cs="微软雅黑"/>
                <w:i w:val="0"/>
                <w:iCs w:val="0"/>
                <w:caps w:val="0"/>
                <w:color w:val="333333"/>
                <w:spacing w:val="0"/>
                <w:sz w:val="14"/>
                <w:szCs w:val="14"/>
              </w:rPr>
            </w:pPr>
          </w:p>
        </w:tc>
        <w:tc>
          <w:tcPr>
            <w:tcW w:w="380" w:type="dxa"/>
            <w:vMerge w:val="continue"/>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jc w:val="center"/>
              <w:rPr>
                <w:rFonts w:hint="eastAsia" w:ascii="微软雅黑" w:hAnsi="微软雅黑" w:eastAsia="微软雅黑" w:cs="微软雅黑"/>
                <w:i w:val="0"/>
                <w:iCs w:val="0"/>
                <w:caps w:val="0"/>
                <w:color w:val="333333"/>
                <w:spacing w:val="0"/>
                <w:sz w:val="14"/>
                <w:szCs w:val="14"/>
              </w:rPr>
            </w:pP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商业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企业</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科研</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机构</w:t>
            </w:r>
          </w:p>
        </w:tc>
        <w:tc>
          <w:tcPr>
            <w:tcW w:w="660" w:type="dxa"/>
            <w:tcBorders>
              <w:top w:val="single" w:color="000000" w:sz="4" w:space="0"/>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社会公益组织</w:t>
            </w:r>
          </w:p>
        </w:tc>
        <w:tc>
          <w:tcPr>
            <w:tcW w:w="660" w:type="dxa"/>
            <w:tcBorders>
              <w:top w:val="single" w:color="000000" w:sz="4" w:space="0"/>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法律服务机构</w:t>
            </w:r>
          </w:p>
        </w:tc>
        <w:tc>
          <w:tcPr>
            <w:tcW w:w="470" w:type="dxa"/>
            <w:tcBorders>
              <w:top w:val="single" w:color="000000" w:sz="4" w:space="0"/>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其他</w:t>
            </w:r>
          </w:p>
        </w:tc>
        <w:tc>
          <w:tcPr>
            <w:tcW w:w="470" w:type="dxa"/>
            <w:vMerge w:val="continue"/>
            <w:tcBorders>
              <w:top w:val="single" w:color="000000" w:sz="4" w:space="0"/>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jc w:val="center"/>
              <w:rPr>
                <w:rFonts w:hint="eastAsia" w:ascii="微软雅黑" w:hAnsi="微软雅黑" w:eastAsia="微软雅黑" w:cs="微软雅黑"/>
                <w:i w:val="0"/>
                <w:iCs w:val="0"/>
                <w:caps w:val="0"/>
                <w:color w:val="333333"/>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170" w:type="dxa"/>
            <w:gridSpan w:val="3"/>
            <w:tcBorders>
              <w:top w:val="nil"/>
              <w:left w:val="single" w:color="000000" w:sz="4" w:space="0"/>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一、本年新收政府信息公开申请数量</w:t>
            </w:r>
          </w:p>
        </w:tc>
        <w:tc>
          <w:tcPr>
            <w:tcW w:w="38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rFonts w:hint="eastAsia" w:eastAsiaTheme="minorEastAsia"/>
                <w:sz w:val="14"/>
                <w:szCs w:val="14"/>
                <w:lang w:eastAsia="zh-CN"/>
              </w:rPr>
            </w:pPr>
            <w:r>
              <w:rPr>
                <w:rFonts w:hint="eastAsia" w:ascii="宋体" w:hAnsi="宋体" w:eastAsia="宋体" w:cs="宋体"/>
                <w:i w:val="0"/>
                <w:iCs w:val="0"/>
                <w:caps w:val="0"/>
                <w:color w:val="333333"/>
                <w:spacing w:val="0"/>
                <w:sz w:val="18"/>
                <w:szCs w:val="18"/>
                <w:lang w:val="en-US" w:eastAsia="zh-CN"/>
              </w:rPr>
              <w:t>4</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rFonts w:hint="default" w:eastAsiaTheme="minorEastAsia"/>
                <w:sz w:val="14"/>
                <w:szCs w:val="14"/>
                <w:lang w:val="en-US" w:eastAsia="zh-CN"/>
              </w:rPr>
            </w:pPr>
            <w:r>
              <w:rPr>
                <w:rFonts w:hint="eastAsia" w:ascii="宋体" w:hAnsi="宋体" w:eastAsia="宋体" w:cs="宋体"/>
                <w:i w:val="0"/>
                <w:iCs w:val="0"/>
                <w:caps w:val="0"/>
                <w:color w:val="333333"/>
                <w:spacing w:val="0"/>
                <w:sz w:val="18"/>
                <w:szCs w:val="18"/>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rFonts w:hint="eastAsia" w:eastAsiaTheme="minorEastAsia"/>
                <w:sz w:val="14"/>
                <w:szCs w:val="14"/>
                <w:lang w:eastAsia="zh-CN"/>
              </w:rPr>
            </w:pPr>
            <w:r>
              <w:rPr>
                <w:rFonts w:hint="eastAsia" w:ascii="宋体" w:hAnsi="宋体" w:eastAsia="宋体" w:cs="宋体"/>
                <w:i w:val="0"/>
                <w:iCs w:val="0"/>
                <w:caps w:val="0"/>
                <w:color w:val="333333"/>
                <w:spacing w:val="0"/>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170" w:type="dxa"/>
            <w:gridSpan w:val="3"/>
            <w:tcBorders>
              <w:top w:val="nil"/>
              <w:left w:val="single" w:color="000000" w:sz="4" w:space="0"/>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二、上年结转政府信息公开申请数量</w:t>
            </w:r>
          </w:p>
        </w:tc>
        <w:tc>
          <w:tcPr>
            <w:tcW w:w="38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rFonts w:hint="eastAsia" w:eastAsiaTheme="minorEastAsia"/>
                <w:sz w:val="14"/>
                <w:szCs w:val="14"/>
                <w:lang w:eastAsia="zh-CN"/>
              </w:rPr>
            </w:pPr>
            <w:r>
              <w:rPr>
                <w:rFonts w:hint="eastAsia" w:ascii="宋体" w:hAnsi="宋体" w:eastAsia="宋体" w:cs="宋体"/>
                <w:i w:val="0"/>
                <w:iCs w:val="0"/>
                <w:caps w:val="0"/>
                <w:color w:val="333333"/>
                <w:spacing w:val="0"/>
                <w:sz w:val="18"/>
                <w:szCs w:val="18"/>
                <w:lang w:val="en-US" w:eastAsia="zh-CN"/>
              </w:rPr>
              <w:t>0</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rFonts w:hint="eastAsia" w:eastAsiaTheme="minorEastAsia"/>
                <w:sz w:val="14"/>
                <w:szCs w:val="14"/>
                <w:lang w:eastAsia="zh-CN"/>
              </w:rPr>
            </w:pPr>
            <w:r>
              <w:rPr>
                <w:rFonts w:hint="eastAsia" w:ascii="宋体" w:hAnsi="宋体" w:eastAsia="宋体" w:cs="宋体"/>
                <w:i w:val="0"/>
                <w:iCs w:val="0"/>
                <w:caps w:val="0"/>
                <w:color w:val="333333"/>
                <w:spacing w:val="0"/>
                <w:sz w:val="18"/>
                <w:szCs w:val="18"/>
                <w:lang w:val="en-US" w:eastAsia="zh-CN"/>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rFonts w:hint="eastAsia" w:eastAsiaTheme="minorEastAsia"/>
                <w:sz w:val="14"/>
                <w:szCs w:val="14"/>
                <w:lang w:eastAsia="zh-CN"/>
              </w:rPr>
            </w:pPr>
            <w:r>
              <w:rPr>
                <w:rFonts w:hint="eastAsia" w:ascii="宋体" w:hAnsi="宋体" w:eastAsia="宋体" w:cs="宋体"/>
                <w:i w:val="0"/>
                <w:iCs w:val="0"/>
                <w:caps w:val="0"/>
                <w:color w:val="333333"/>
                <w:spacing w:val="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80" w:type="dxa"/>
            <w:vMerge w:val="restart"/>
            <w:tcBorders>
              <w:top w:val="nil"/>
              <w:left w:val="single" w:color="000000" w:sz="4" w:space="0"/>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三、本年度办理结果</w:t>
            </w:r>
          </w:p>
        </w:tc>
        <w:tc>
          <w:tcPr>
            <w:tcW w:w="1690" w:type="dxa"/>
            <w:gridSpan w:val="2"/>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（一）予以公开</w:t>
            </w:r>
          </w:p>
        </w:tc>
        <w:tc>
          <w:tcPr>
            <w:tcW w:w="38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rFonts w:hint="eastAsia" w:eastAsiaTheme="minorEastAsia"/>
                <w:sz w:val="14"/>
                <w:szCs w:val="14"/>
                <w:lang w:eastAsia="zh-CN"/>
              </w:rPr>
            </w:pPr>
            <w:r>
              <w:rPr>
                <w:rFonts w:hint="eastAsia" w:ascii="宋体" w:hAnsi="宋体" w:eastAsia="宋体" w:cs="宋体"/>
                <w:i w:val="0"/>
                <w:iCs w:val="0"/>
                <w:caps w:val="0"/>
                <w:color w:val="333333"/>
                <w:spacing w:val="0"/>
                <w:sz w:val="18"/>
                <w:szCs w:val="18"/>
                <w:lang w:val="en-US" w:eastAsia="zh-CN"/>
              </w:rPr>
              <w:t>0</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single" w:color="000000" w:sz="4" w:space="0"/>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rFonts w:hint="eastAsia" w:eastAsiaTheme="minorEastAsia"/>
                <w:sz w:val="14"/>
                <w:szCs w:val="14"/>
                <w:lang w:eastAsia="zh-CN"/>
              </w:rPr>
            </w:pPr>
            <w:r>
              <w:rPr>
                <w:rFonts w:hint="eastAsia" w:ascii="宋体" w:hAnsi="宋体" w:eastAsia="宋体" w:cs="宋体"/>
                <w:i w:val="0"/>
                <w:iCs w:val="0"/>
                <w:caps w:val="0"/>
                <w:color w:val="333333"/>
                <w:spacing w:val="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80" w:type="dxa"/>
            <w:vMerge w:val="continue"/>
            <w:tcBorders>
              <w:top w:val="nil"/>
              <w:left w:val="single" w:color="000000" w:sz="4" w:space="0"/>
              <w:bottom w:val="single" w:color="000000" w:sz="4" w:space="0"/>
              <w:right w:val="single" w:color="000000" w:sz="4" w:space="0"/>
            </w:tcBorders>
            <w:shd w:val="clear" w:color="auto" w:fill="FFFFFF"/>
            <w:tcMar>
              <w:top w:w="30" w:type="dxa"/>
              <w:left w:w="30" w:type="dxa"/>
              <w:bottom w:w="30" w:type="dxa"/>
              <w:right w:w="30" w:type="dxa"/>
            </w:tcMar>
            <w:vAlign w:val="center"/>
          </w:tcPr>
          <w:p>
            <w:pPr>
              <w:jc w:val="center"/>
              <w:rPr>
                <w:rFonts w:hint="eastAsia" w:ascii="微软雅黑" w:hAnsi="微软雅黑" w:eastAsia="微软雅黑" w:cs="微软雅黑"/>
                <w:i w:val="0"/>
                <w:iCs w:val="0"/>
                <w:caps w:val="0"/>
                <w:color w:val="333333"/>
                <w:spacing w:val="0"/>
                <w:sz w:val="14"/>
                <w:szCs w:val="14"/>
              </w:rPr>
            </w:pPr>
          </w:p>
        </w:tc>
        <w:tc>
          <w:tcPr>
            <w:tcW w:w="1690" w:type="dxa"/>
            <w:gridSpan w:val="2"/>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（二）部分公开（区分处理的，只计这一情形，不计其他情形）</w:t>
            </w:r>
          </w:p>
        </w:tc>
        <w:tc>
          <w:tcPr>
            <w:tcW w:w="38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80" w:type="dxa"/>
            <w:vMerge w:val="continue"/>
            <w:tcBorders>
              <w:top w:val="nil"/>
              <w:left w:val="single" w:color="000000" w:sz="4" w:space="0"/>
              <w:bottom w:val="single" w:color="000000" w:sz="4" w:space="0"/>
              <w:right w:val="single" w:color="000000" w:sz="4" w:space="0"/>
            </w:tcBorders>
            <w:shd w:val="clear" w:color="auto" w:fill="FFFFFF"/>
            <w:tcMar>
              <w:top w:w="30" w:type="dxa"/>
              <w:left w:w="30" w:type="dxa"/>
              <w:bottom w:w="30" w:type="dxa"/>
              <w:right w:w="30" w:type="dxa"/>
            </w:tcMar>
            <w:vAlign w:val="center"/>
          </w:tcPr>
          <w:p>
            <w:pPr>
              <w:jc w:val="center"/>
              <w:rPr>
                <w:rFonts w:hint="eastAsia" w:ascii="微软雅黑" w:hAnsi="微软雅黑" w:eastAsia="微软雅黑" w:cs="微软雅黑"/>
                <w:i w:val="0"/>
                <w:iCs w:val="0"/>
                <w:caps w:val="0"/>
                <w:color w:val="333333"/>
                <w:spacing w:val="0"/>
                <w:sz w:val="14"/>
                <w:szCs w:val="14"/>
              </w:rPr>
            </w:pPr>
          </w:p>
        </w:tc>
        <w:tc>
          <w:tcPr>
            <w:tcW w:w="690" w:type="dxa"/>
            <w:vMerge w:val="restart"/>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（三）不予公开</w:t>
            </w:r>
          </w:p>
        </w:tc>
        <w:tc>
          <w:tcPr>
            <w:tcW w:w="100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left"/>
              <w:rPr>
                <w:sz w:val="14"/>
                <w:szCs w:val="14"/>
              </w:rPr>
            </w:pPr>
            <w:r>
              <w:rPr>
                <w:rFonts w:hint="eastAsia" w:ascii="宋体" w:hAnsi="宋体" w:eastAsia="宋体" w:cs="宋体"/>
                <w:i w:val="0"/>
                <w:iCs w:val="0"/>
                <w:caps w:val="0"/>
                <w:color w:val="333333"/>
                <w:spacing w:val="0"/>
                <w:sz w:val="18"/>
                <w:szCs w:val="18"/>
              </w:rPr>
              <w:t>1.属于国家秘密</w:t>
            </w:r>
          </w:p>
        </w:tc>
        <w:tc>
          <w:tcPr>
            <w:tcW w:w="38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single" w:color="000000" w:sz="4" w:space="0"/>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80" w:type="dxa"/>
            <w:vMerge w:val="continue"/>
            <w:tcBorders>
              <w:top w:val="nil"/>
              <w:left w:val="single" w:color="000000" w:sz="4" w:space="0"/>
              <w:bottom w:val="single" w:color="000000" w:sz="4" w:space="0"/>
              <w:right w:val="single" w:color="000000" w:sz="4" w:space="0"/>
            </w:tcBorders>
            <w:shd w:val="clear" w:color="auto" w:fill="FFFFFF"/>
            <w:tcMar>
              <w:top w:w="30" w:type="dxa"/>
              <w:left w:w="30" w:type="dxa"/>
              <w:bottom w:w="30" w:type="dxa"/>
              <w:right w:w="30" w:type="dxa"/>
            </w:tcMar>
            <w:vAlign w:val="center"/>
          </w:tcPr>
          <w:p>
            <w:pPr>
              <w:jc w:val="center"/>
              <w:rPr>
                <w:rFonts w:hint="eastAsia" w:ascii="微软雅黑" w:hAnsi="微软雅黑" w:eastAsia="微软雅黑" w:cs="微软雅黑"/>
                <w:i w:val="0"/>
                <w:iCs w:val="0"/>
                <w:caps w:val="0"/>
                <w:color w:val="333333"/>
                <w:spacing w:val="0"/>
                <w:sz w:val="14"/>
                <w:szCs w:val="14"/>
              </w:rPr>
            </w:pPr>
          </w:p>
        </w:tc>
        <w:tc>
          <w:tcPr>
            <w:tcW w:w="690" w:type="dxa"/>
            <w:vMerge w:val="continue"/>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jc w:val="center"/>
              <w:rPr>
                <w:rFonts w:hint="eastAsia" w:ascii="微软雅黑" w:hAnsi="微软雅黑" w:eastAsia="微软雅黑" w:cs="微软雅黑"/>
                <w:i w:val="0"/>
                <w:iCs w:val="0"/>
                <w:caps w:val="0"/>
                <w:color w:val="333333"/>
                <w:spacing w:val="0"/>
                <w:sz w:val="14"/>
                <w:szCs w:val="14"/>
              </w:rPr>
            </w:pPr>
          </w:p>
        </w:tc>
        <w:tc>
          <w:tcPr>
            <w:tcW w:w="100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left"/>
              <w:rPr>
                <w:sz w:val="14"/>
                <w:szCs w:val="14"/>
              </w:rPr>
            </w:pPr>
            <w:r>
              <w:rPr>
                <w:rFonts w:hint="eastAsia" w:ascii="宋体" w:hAnsi="宋体" w:eastAsia="宋体" w:cs="宋体"/>
                <w:i w:val="0"/>
                <w:iCs w:val="0"/>
                <w:caps w:val="0"/>
                <w:color w:val="333333"/>
                <w:spacing w:val="0"/>
                <w:sz w:val="18"/>
                <w:szCs w:val="18"/>
              </w:rPr>
              <w:t>2.其他法律行政法规禁止公开</w:t>
            </w:r>
          </w:p>
        </w:tc>
        <w:tc>
          <w:tcPr>
            <w:tcW w:w="38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80" w:type="dxa"/>
            <w:vMerge w:val="continue"/>
            <w:tcBorders>
              <w:top w:val="nil"/>
              <w:left w:val="single" w:color="000000" w:sz="4" w:space="0"/>
              <w:bottom w:val="single" w:color="000000" w:sz="4" w:space="0"/>
              <w:right w:val="single" w:color="000000" w:sz="4" w:space="0"/>
            </w:tcBorders>
            <w:shd w:val="clear" w:color="auto" w:fill="FFFFFF"/>
            <w:tcMar>
              <w:top w:w="30" w:type="dxa"/>
              <w:left w:w="30" w:type="dxa"/>
              <w:bottom w:w="30" w:type="dxa"/>
              <w:right w:w="30" w:type="dxa"/>
            </w:tcMar>
            <w:vAlign w:val="center"/>
          </w:tcPr>
          <w:p>
            <w:pPr>
              <w:jc w:val="center"/>
              <w:rPr>
                <w:rFonts w:hint="eastAsia" w:ascii="微软雅黑" w:hAnsi="微软雅黑" w:eastAsia="微软雅黑" w:cs="微软雅黑"/>
                <w:i w:val="0"/>
                <w:iCs w:val="0"/>
                <w:caps w:val="0"/>
                <w:color w:val="333333"/>
                <w:spacing w:val="0"/>
                <w:sz w:val="14"/>
                <w:szCs w:val="14"/>
              </w:rPr>
            </w:pPr>
          </w:p>
        </w:tc>
        <w:tc>
          <w:tcPr>
            <w:tcW w:w="690" w:type="dxa"/>
            <w:vMerge w:val="continue"/>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jc w:val="center"/>
              <w:rPr>
                <w:rFonts w:hint="eastAsia" w:ascii="微软雅黑" w:hAnsi="微软雅黑" w:eastAsia="微软雅黑" w:cs="微软雅黑"/>
                <w:i w:val="0"/>
                <w:iCs w:val="0"/>
                <w:caps w:val="0"/>
                <w:color w:val="333333"/>
                <w:spacing w:val="0"/>
                <w:sz w:val="14"/>
                <w:szCs w:val="14"/>
              </w:rPr>
            </w:pPr>
          </w:p>
        </w:tc>
        <w:tc>
          <w:tcPr>
            <w:tcW w:w="100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left"/>
              <w:rPr>
                <w:sz w:val="14"/>
                <w:szCs w:val="14"/>
              </w:rPr>
            </w:pPr>
            <w:r>
              <w:rPr>
                <w:rFonts w:hint="eastAsia" w:ascii="宋体" w:hAnsi="宋体" w:eastAsia="宋体" w:cs="宋体"/>
                <w:i w:val="0"/>
                <w:iCs w:val="0"/>
                <w:caps w:val="0"/>
                <w:color w:val="333333"/>
                <w:spacing w:val="0"/>
                <w:sz w:val="18"/>
                <w:szCs w:val="18"/>
              </w:rPr>
              <w:t>3.危及“三安全一稳定”</w:t>
            </w:r>
          </w:p>
        </w:tc>
        <w:tc>
          <w:tcPr>
            <w:tcW w:w="38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80" w:type="dxa"/>
            <w:vMerge w:val="continue"/>
            <w:tcBorders>
              <w:top w:val="nil"/>
              <w:left w:val="single" w:color="000000" w:sz="4" w:space="0"/>
              <w:bottom w:val="single" w:color="000000" w:sz="4" w:space="0"/>
              <w:right w:val="single" w:color="000000" w:sz="4" w:space="0"/>
            </w:tcBorders>
            <w:shd w:val="clear" w:color="auto" w:fill="FFFFFF"/>
            <w:tcMar>
              <w:top w:w="30" w:type="dxa"/>
              <w:left w:w="30" w:type="dxa"/>
              <w:bottom w:w="30" w:type="dxa"/>
              <w:right w:w="30" w:type="dxa"/>
            </w:tcMar>
            <w:vAlign w:val="center"/>
          </w:tcPr>
          <w:p>
            <w:pPr>
              <w:jc w:val="center"/>
              <w:rPr>
                <w:rFonts w:hint="eastAsia" w:ascii="微软雅黑" w:hAnsi="微软雅黑" w:eastAsia="微软雅黑" w:cs="微软雅黑"/>
                <w:i w:val="0"/>
                <w:iCs w:val="0"/>
                <w:caps w:val="0"/>
                <w:color w:val="333333"/>
                <w:spacing w:val="0"/>
                <w:sz w:val="14"/>
                <w:szCs w:val="14"/>
              </w:rPr>
            </w:pPr>
          </w:p>
        </w:tc>
        <w:tc>
          <w:tcPr>
            <w:tcW w:w="690" w:type="dxa"/>
            <w:vMerge w:val="continue"/>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jc w:val="center"/>
              <w:rPr>
                <w:rFonts w:hint="eastAsia" w:ascii="微软雅黑" w:hAnsi="微软雅黑" w:eastAsia="微软雅黑" w:cs="微软雅黑"/>
                <w:i w:val="0"/>
                <w:iCs w:val="0"/>
                <w:caps w:val="0"/>
                <w:color w:val="333333"/>
                <w:spacing w:val="0"/>
                <w:sz w:val="14"/>
                <w:szCs w:val="14"/>
              </w:rPr>
            </w:pPr>
          </w:p>
        </w:tc>
        <w:tc>
          <w:tcPr>
            <w:tcW w:w="100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left"/>
              <w:rPr>
                <w:sz w:val="14"/>
                <w:szCs w:val="14"/>
              </w:rPr>
            </w:pPr>
            <w:r>
              <w:rPr>
                <w:rFonts w:hint="eastAsia" w:ascii="宋体" w:hAnsi="宋体" w:eastAsia="宋体" w:cs="宋体"/>
                <w:i w:val="0"/>
                <w:iCs w:val="0"/>
                <w:caps w:val="0"/>
                <w:color w:val="333333"/>
                <w:spacing w:val="0"/>
                <w:sz w:val="18"/>
                <w:szCs w:val="18"/>
              </w:rPr>
              <w:t>4.保护第三方合法权益</w:t>
            </w:r>
          </w:p>
        </w:tc>
        <w:tc>
          <w:tcPr>
            <w:tcW w:w="38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80" w:type="dxa"/>
            <w:vMerge w:val="continue"/>
            <w:tcBorders>
              <w:top w:val="nil"/>
              <w:left w:val="single" w:color="000000" w:sz="4" w:space="0"/>
              <w:bottom w:val="single" w:color="000000" w:sz="4" w:space="0"/>
              <w:right w:val="single" w:color="000000" w:sz="4" w:space="0"/>
            </w:tcBorders>
            <w:shd w:val="clear" w:color="auto" w:fill="FFFFFF"/>
            <w:tcMar>
              <w:top w:w="30" w:type="dxa"/>
              <w:left w:w="30" w:type="dxa"/>
              <w:bottom w:w="30" w:type="dxa"/>
              <w:right w:w="30" w:type="dxa"/>
            </w:tcMar>
            <w:vAlign w:val="center"/>
          </w:tcPr>
          <w:p>
            <w:pPr>
              <w:jc w:val="center"/>
              <w:rPr>
                <w:rFonts w:hint="eastAsia" w:ascii="微软雅黑" w:hAnsi="微软雅黑" w:eastAsia="微软雅黑" w:cs="微软雅黑"/>
                <w:i w:val="0"/>
                <w:iCs w:val="0"/>
                <w:caps w:val="0"/>
                <w:color w:val="333333"/>
                <w:spacing w:val="0"/>
                <w:sz w:val="14"/>
                <w:szCs w:val="14"/>
              </w:rPr>
            </w:pPr>
          </w:p>
        </w:tc>
        <w:tc>
          <w:tcPr>
            <w:tcW w:w="690" w:type="dxa"/>
            <w:vMerge w:val="continue"/>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jc w:val="center"/>
              <w:rPr>
                <w:rFonts w:hint="eastAsia" w:ascii="微软雅黑" w:hAnsi="微软雅黑" w:eastAsia="微软雅黑" w:cs="微软雅黑"/>
                <w:i w:val="0"/>
                <w:iCs w:val="0"/>
                <w:caps w:val="0"/>
                <w:color w:val="333333"/>
                <w:spacing w:val="0"/>
                <w:sz w:val="14"/>
                <w:szCs w:val="14"/>
              </w:rPr>
            </w:pPr>
          </w:p>
        </w:tc>
        <w:tc>
          <w:tcPr>
            <w:tcW w:w="100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left"/>
              <w:rPr>
                <w:sz w:val="14"/>
                <w:szCs w:val="14"/>
              </w:rPr>
            </w:pPr>
            <w:r>
              <w:rPr>
                <w:rFonts w:hint="eastAsia" w:ascii="宋体" w:hAnsi="宋体" w:eastAsia="宋体" w:cs="宋体"/>
                <w:i w:val="0"/>
                <w:iCs w:val="0"/>
                <w:caps w:val="0"/>
                <w:color w:val="333333"/>
                <w:spacing w:val="0"/>
                <w:sz w:val="18"/>
                <w:szCs w:val="18"/>
              </w:rPr>
              <w:t>5.属于三类内部事务信息</w:t>
            </w:r>
          </w:p>
        </w:tc>
        <w:tc>
          <w:tcPr>
            <w:tcW w:w="38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0" w:type="dxa"/>
            <w:vMerge w:val="continue"/>
            <w:tcBorders>
              <w:top w:val="nil"/>
              <w:left w:val="single" w:color="000000" w:sz="4" w:space="0"/>
              <w:bottom w:val="single" w:color="000000" w:sz="4" w:space="0"/>
              <w:right w:val="single" w:color="000000" w:sz="4" w:space="0"/>
            </w:tcBorders>
            <w:shd w:val="clear" w:color="auto" w:fill="FFFFFF"/>
            <w:tcMar>
              <w:top w:w="30" w:type="dxa"/>
              <w:left w:w="30" w:type="dxa"/>
              <w:bottom w:w="30" w:type="dxa"/>
              <w:right w:w="30" w:type="dxa"/>
            </w:tcMar>
            <w:vAlign w:val="center"/>
          </w:tcPr>
          <w:p>
            <w:pPr>
              <w:jc w:val="center"/>
              <w:rPr>
                <w:rFonts w:hint="eastAsia" w:ascii="微软雅黑" w:hAnsi="微软雅黑" w:eastAsia="微软雅黑" w:cs="微软雅黑"/>
                <w:i w:val="0"/>
                <w:iCs w:val="0"/>
                <w:caps w:val="0"/>
                <w:color w:val="333333"/>
                <w:spacing w:val="0"/>
                <w:sz w:val="14"/>
                <w:szCs w:val="14"/>
              </w:rPr>
            </w:pPr>
          </w:p>
        </w:tc>
        <w:tc>
          <w:tcPr>
            <w:tcW w:w="690" w:type="dxa"/>
            <w:vMerge w:val="continue"/>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jc w:val="center"/>
              <w:rPr>
                <w:rFonts w:hint="eastAsia" w:ascii="微软雅黑" w:hAnsi="微软雅黑" w:eastAsia="微软雅黑" w:cs="微软雅黑"/>
                <w:i w:val="0"/>
                <w:iCs w:val="0"/>
                <w:caps w:val="0"/>
                <w:color w:val="333333"/>
                <w:spacing w:val="0"/>
                <w:sz w:val="14"/>
                <w:szCs w:val="14"/>
              </w:rPr>
            </w:pPr>
          </w:p>
        </w:tc>
        <w:tc>
          <w:tcPr>
            <w:tcW w:w="100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left"/>
              <w:rPr>
                <w:sz w:val="14"/>
                <w:szCs w:val="14"/>
              </w:rPr>
            </w:pPr>
            <w:r>
              <w:rPr>
                <w:rFonts w:hint="eastAsia" w:ascii="宋体" w:hAnsi="宋体" w:eastAsia="宋体" w:cs="宋体"/>
                <w:i w:val="0"/>
                <w:iCs w:val="0"/>
                <w:caps w:val="0"/>
                <w:color w:val="333333"/>
                <w:spacing w:val="0"/>
                <w:sz w:val="18"/>
                <w:szCs w:val="18"/>
              </w:rPr>
              <w:t>6.属于四类过程性信息</w:t>
            </w:r>
          </w:p>
        </w:tc>
        <w:tc>
          <w:tcPr>
            <w:tcW w:w="38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80" w:type="dxa"/>
            <w:vMerge w:val="continue"/>
            <w:tcBorders>
              <w:top w:val="nil"/>
              <w:left w:val="single" w:color="000000" w:sz="4" w:space="0"/>
              <w:bottom w:val="single" w:color="000000" w:sz="4" w:space="0"/>
              <w:right w:val="single" w:color="000000" w:sz="4" w:space="0"/>
            </w:tcBorders>
            <w:shd w:val="clear" w:color="auto" w:fill="FFFFFF"/>
            <w:tcMar>
              <w:top w:w="30" w:type="dxa"/>
              <w:left w:w="30" w:type="dxa"/>
              <w:bottom w:w="30" w:type="dxa"/>
              <w:right w:w="30" w:type="dxa"/>
            </w:tcMar>
            <w:vAlign w:val="center"/>
          </w:tcPr>
          <w:p>
            <w:pPr>
              <w:jc w:val="center"/>
              <w:rPr>
                <w:rFonts w:hint="eastAsia" w:ascii="微软雅黑" w:hAnsi="微软雅黑" w:eastAsia="微软雅黑" w:cs="微软雅黑"/>
                <w:i w:val="0"/>
                <w:iCs w:val="0"/>
                <w:caps w:val="0"/>
                <w:color w:val="333333"/>
                <w:spacing w:val="0"/>
                <w:sz w:val="14"/>
                <w:szCs w:val="14"/>
              </w:rPr>
            </w:pPr>
          </w:p>
        </w:tc>
        <w:tc>
          <w:tcPr>
            <w:tcW w:w="690" w:type="dxa"/>
            <w:vMerge w:val="continue"/>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jc w:val="center"/>
              <w:rPr>
                <w:rFonts w:hint="eastAsia" w:ascii="微软雅黑" w:hAnsi="微软雅黑" w:eastAsia="微软雅黑" w:cs="微软雅黑"/>
                <w:i w:val="0"/>
                <w:iCs w:val="0"/>
                <w:caps w:val="0"/>
                <w:color w:val="333333"/>
                <w:spacing w:val="0"/>
                <w:sz w:val="14"/>
                <w:szCs w:val="14"/>
              </w:rPr>
            </w:pPr>
          </w:p>
        </w:tc>
        <w:tc>
          <w:tcPr>
            <w:tcW w:w="100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left"/>
              <w:rPr>
                <w:sz w:val="14"/>
                <w:szCs w:val="14"/>
              </w:rPr>
            </w:pPr>
            <w:r>
              <w:rPr>
                <w:rFonts w:hint="eastAsia" w:ascii="宋体" w:hAnsi="宋体" w:eastAsia="宋体" w:cs="宋体"/>
                <w:i w:val="0"/>
                <w:iCs w:val="0"/>
                <w:caps w:val="0"/>
                <w:color w:val="333333"/>
                <w:spacing w:val="0"/>
                <w:sz w:val="18"/>
                <w:szCs w:val="18"/>
              </w:rPr>
              <w:t>7.属于行政执法案卷</w:t>
            </w:r>
          </w:p>
        </w:tc>
        <w:tc>
          <w:tcPr>
            <w:tcW w:w="38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80" w:type="dxa"/>
            <w:vMerge w:val="continue"/>
            <w:tcBorders>
              <w:top w:val="nil"/>
              <w:left w:val="single" w:color="000000" w:sz="4" w:space="0"/>
              <w:bottom w:val="single" w:color="000000" w:sz="4" w:space="0"/>
              <w:right w:val="single" w:color="000000" w:sz="4" w:space="0"/>
            </w:tcBorders>
            <w:shd w:val="clear" w:color="auto" w:fill="FFFFFF"/>
            <w:tcMar>
              <w:top w:w="30" w:type="dxa"/>
              <w:left w:w="30" w:type="dxa"/>
              <w:bottom w:w="30" w:type="dxa"/>
              <w:right w:w="30" w:type="dxa"/>
            </w:tcMar>
            <w:vAlign w:val="center"/>
          </w:tcPr>
          <w:p>
            <w:pPr>
              <w:jc w:val="center"/>
              <w:rPr>
                <w:rFonts w:hint="eastAsia" w:ascii="微软雅黑" w:hAnsi="微软雅黑" w:eastAsia="微软雅黑" w:cs="微软雅黑"/>
                <w:i w:val="0"/>
                <w:iCs w:val="0"/>
                <w:caps w:val="0"/>
                <w:color w:val="333333"/>
                <w:spacing w:val="0"/>
                <w:sz w:val="14"/>
                <w:szCs w:val="14"/>
              </w:rPr>
            </w:pPr>
          </w:p>
        </w:tc>
        <w:tc>
          <w:tcPr>
            <w:tcW w:w="690" w:type="dxa"/>
            <w:vMerge w:val="continue"/>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jc w:val="center"/>
              <w:rPr>
                <w:rFonts w:hint="eastAsia" w:ascii="微软雅黑" w:hAnsi="微软雅黑" w:eastAsia="微软雅黑" w:cs="微软雅黑"/>
                <w:i w:val="0"/>
                <w:iCs w:val="0"/>
                <w:caps w:val="0"/>
                <w:color w:val="333333"/>
                <w:spacing w:val="0"/>
                <w:sz w:val="14"/>
                <w:szCs w:val="14"/>
              </w:rPr>
            </w:pPr>
          </w:p>
        </w:tc>
        <w:tc>
          <w:tcPr>
            <w:tcW w:w="100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left"/>
              <w:rPr>
                <w:sz w:val="14"/>
                <w:szCs w:val="14"/>
              </w:rPr>
            </w:pPr>
            <w:r>
              <w:rPr>
                <w:rFonts w:hint="eastAsia" w:ascii="宋体" w:hAnsi="宋体" w:eastAsia="宋体" w:cs="宋体"/>
                <w:i w:val="0"/>
                <w:iCs w:val="0"/>
                <w:caps w:val="0"/>
                <w:color w:val="333333"/>
                <w:spacing w:val="0"/>
                <w:sz w:val="18"/>
                <w:szCs w:val="18"/>
              </w:rPr>
              <w:t>8.属于行政查询事项</w:t>
            </w:r>
          </w:p>
        </w:tc>
        <w:tc>
          <w:tcPr>
            <w:tcW w:w="38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rFonts w:hint="eastAsia" w:eastAsiaTheme="minorEastAsia"/>
                <w:sz w:val="14"/>
                <w:szCs w:val="14"/>
                <w:lang w:eastAsia="zh-CN"/>
              </w:rPr>
            </w:pPr>
            <w:r>
              <w:rPr>
                <w:rFonts w:hint="eastAsia" w:ascii="宋体" w:hAnsi="宋体" w:eastAsia="宋体" w:cs="宋体"/>
                <w:i w:val="0"/>
                <w:iCs w:val="0"/>
                <w:caps w:val="0"/>
                <w:color w:val="333333"/>
                <w:spacing w:val="0"/>
                <w:sz w:val="18"/>
                <w:szCs w:val="18"/>
                <w:lang w:val="en-US" w:eastAsia="zh-CN"/>
              </w:rPr>
              <w:t>4</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rFonts w:hint="eastAsia" w:eastAsiaTheme="minorEastAsia"/>
                <w:sz w:val="14"/>
                <w:szCs w:val="14"/>
                <w:lang w:eastAsia="zh-CN"/>
              </w:rPr>
            </w:pPr>
            <w:r>
              <w:rPr>
                <w:rFonts w:hint="eastAsia" w:ascii="宋体" w:hAnsi="宋体" w:eastAsia="宋体" w:cs="宋体"/>
                <w:i w:val="0"/>
                <w:iCs w:val="0"/>
                <w:caps w:val="0"/>
                <w:color w:val="333333"/>
                <w:spacing w:val="0"/>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80" w:type="dxa"/>
            <w:vMerge w:val="continue"/>
            <w:tcBorders>
              <w:top w:val="nil"/>
              <w:left w:val="single" w:color="000000" w:sz="4" w:space="0"/>
              <w:bottom w:val="single" w:color="000000" w:sz="4" w:space="0"/>
              <w:right w:val="single" w:color="000000" w:sz="4" w:space="0"/>
            </w:tcBorders>
            <w:shd w:val="clear" w:color="auto" w:fill="FFFFFF"/>
            <w:tcMar>
              <w:top w:w="30" w:type="dxa"/>
              <w:left w:w="30" w:type="dxa"/>
              <w:bottom w:w="30" w:type="dxa"/>
              <w:right w:w="30" w:type="dxa"/>
            </w:tcMar>
            <w:vAlign w:val="center"/>
          </w:tcPr>
          <w:p>
            <w:pPr>
              <w:jc w:val="center"/>
              <w:rPr>
                <w:rFonts w:hint="eastAsia" w:ascii="微软雅黑" w:hAnsi="微软雅黑" w:eastAsia="微软雅黑" w:cs="微软雅黑"/>
                <w:i w:val="0"/>
                <w:iCs w:val="0"/>
                <w:caps w:val="0"/>
                <w:color w:val="333333"/>
                <w:spacing w:val="0"/>
                <w:sz w:val="14"/>
                <w:szCs w:val="14"/>
              </w:rPr>
            </w:pPr>
          </w:p>
        </w:tc>
        <w:tc>
          <w:tcPr>
            <w:tcW w:w="690" w:type="dxa"/>
            <w:vMerge w:val="restart"/>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（四）无法提供</w:t>
            </w:r>
          </w:p>
        </w:tc>
        <w:tc>
          <w:tcPr>
            <w:tcW w:w="100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left"/>
              <w:rPr>
                <w:sz w:val="14"/>
                <w:szCs w:val="14"/>
              </w:rPr>
            </w:pPr>
            <w:r>
              <w:rPr>
                <w:rFonts w:hint="eastAsia" w:ascii="宋体" w:hAnsi="宋体" w:eastAsia="宋体" w:cs="宋体"/>
                <w:i w:val="0"/>
                <w:iCs w:val="0"/>
                <w:caps w:val="0"/>
                <w:color w:val="333333"/>
                <w:spacing w:val="0"/>
                <w:sz w:val="18"/>
                <w:szCs w:val="18"/>
              </w:rPr>
              <w:t>1.本机关不掌握相关政府信息</w:t>
            </w:r>
          </w:p>
        </w:tc>
        <w:tc>
          <w:tcPr>
            <w:tcW w:w="38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80" w:type="dxa"/>
            <w:vMerge w:val="continue"/>
            <w:tcBorders>
              <w:top w:val="nil"/>
              <w:left w:val="single" w:color="000000" w:sz="4" w:space="0"/>
              <w:bottom w:val="single" w:color="000000" w:sz="4" w:space="0"/>
              <w:right w:val="single" w:color="000000" w:sz="4" w:space="0"/>
            </w:tcBorders>
            <w:shd w:val="clear" w:color="auto" w:fill="FFFFFF"/>
            <w:tcMar>
              <w:top w:w="30" w:type="dxa"/>
              <w:left w:w="30" w:type="dxa"/>
              <w:bottom w:w="30" w:type="dxa"/>
              <w:right w:w="30" w:type="dxa"/>
            </w:tcMar>
            <w:vAlign w:val="center"/>
          </w:tcPr>
          <w:p>
            <w:pPr>
              <w:jc w:val="center"/>
              <w:rPr>
                <w:rFonts w:hint="eastAsia" w:ascii="微软雅黑" w:hAnsi="微软雅黑" w:eastAsia="微软雅黑" w:cs="微软雅黑"/>
                <w:i w:val="0"/>
                <w:iCs w:val="0"/>
                <w:caps w:val="0"/>
                <w:color w:val="333333"/>
                <w:spacing w:val="0"/>
                <w:sz w:val="14"/>
                <w:szCs w:val="14"/>
              </w:rPr>
            </w:pPr>
          </w:p>
        </w:tc>
        <w:tc>
          <w:tcPr>
            <w:tcW w:w="690" w:type="dxa"/>
            <w:vMerge w:val="continue"/>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jc w:val="center"/>
              <w:rPr>
                <w:rFonts w:hint="eastAsia" w:ascii="微软雅黑" w:hAnsi="微软雅黑" w:eastAsia="微软雅黑" w:cs="微软雅黑"/>
                <w:i w:val="0"/>
                <w:iCs w:val="0"/>
                <w:caps w:val="0"/>
                <w:color w:val="333333"/>
                <w:spacing w:val="0"/>
                <w:sz w:val="14"/>
                <w:szCs w:val="14"/>
              </w:rPr>
            </w:pPr>
          </w:p>
        </w:tc>
        <w:tc>
          <w:tcPr>
            <w:tcW w:w="100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left"/>
              <w:rPr>
                <w:sz w:val="14"/>
                <w:szCs w:val="14"/>
              </w:rPr>
            </w:pPr>
            <w:r>
              <w:rPr>
                <w:rFonts w:hint="eastAsia" w:ascii="宋体" w:hAnsi="宋体" w:eastAsia="宋体" w:cs="宋体"/>
                <w:i w:val="0"/>
                <w:iCs w:val="0"/>
                <w:caps w:val="0"/>
                <w:color w:val="333333"/>
                <w:spacing w:val="0"/>
                <w:sz w:val="18"/>
                <w:szCs w:val="18"/>
              </w:rPr>
              <w:t>2.没有现成信息需要另行制作</w:t>
            </w:r>
          </w:p>
        </w:tc>
        <w:tc>
          <w:tcPr>
            <w:tcW w:w="38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80" w:type="dxa"/>
            <w:vMerge w:val="continue"/>
            <w:tcBorders>
              <w:top w:val="nil"/>
              <w:left w:val="single" w:color="000000" w:sz="4" w:space="0"/>
              <w:bottom w:val="single" w:color="000000" w:sz="4" w:space="0"/>
              <w:right w:val="single" w:color="000000" w:sz="4" w:space="0"/>
            </w:tcBorders>
            <w:shd w:val="clear" w:color="auto" w:fill="FFFFFF"/>
            <w:tcMar>
              <w:top w:w="30" w:type="dxa"/>
              <w:left w:w="30" w:type="dxa"/>
              <w:bottom w:w="30" w:type="dxa"/>
              <w:right w:w="30" w:type="dxa"/>
            </w:tcMar>
            <w:vAlign w:val="center"/>
          </w:tcPr>
          <w:p>
            <w:pPr>
              <w:jc w:val="center"/>
              <w:rPr>
                <w:rFonts w:hint="eastAsia" w:ascii="微软雅黑" w:hAnsi="微软雅黑" w:eastAsia="微软雅黑" w:cs="微软雅黑"/>
                <w:i w:val="0"/>
                <w:iCs w:val="0"/>
                <w:caps w:val="0"/>
                <w:color w:val="333333"/>
                <w:spacing w:val="0"/>
                <w:sz w:val="14"/>
                <w:szCs w:val="14"/>
              </w:rPr>
            </w:pPr>
          </w:p>
        </w:tc>
        <w:tc>
          <w:tcPr>
            <w:tcW w:w="690" w:type="dxa"/>
            <w:vMerge w:val="continue"/>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jc w:val="center"/>
              <w:rPr>
                <w:rFonts w:hint="eastAsia" w:ascii="微软雅黑" w:hAnsi="微软雅黑" w:eastAsia="微软雅黑" w:cs="微软雅黑"/>
                <w:i w:val="0"/>
                <w:iCs w:val="0"/>
                <w:caps w:val="0"/>
                <w:color w:val="333333"/>
                <w:spacing w:val="0"/>
                <w:sz w:val="14"/>
                <w:szCs w:val="14"/>
              </w:rPr>
            </w:pPr>
          </w:p>
        </w:tc>
        <w:tc>
          <w:tcPr>
            <w:tcW w:w="100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left"/>
              <w:rPr>
                <w:sz w:val="14"/>
                <w:szCs w:val="14"/>
              </w:rPr>
            </w:pPr>
            <w:r>
              <w:rPr>
                <w:rFonts w:hint="eastAsia" w:ascii="宋体" w:hAnsi="宋体" w:eastAsia="宋体" w:cs="宋体"/>
                <w:i w:val="0"/>
                <w:iCs w:val="0"/>
                <w:caps w:val="0"/>
                <w:color w:val="333333"/>
                <w:spacing w:val="0"/>
                <w:sz w:val="18"/>
                <w:szCs w:val="18"/>
              </w:rPr>
              <w:t>3.补正后申请内容仍不明确</w:t>
            </w:r>
          </w:p>
        </w:tc>
        <w:tc>
          <w:tcPr>
            <w:tcW w:w="38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80" w:type="dxa"/>
            <w:vMerge w:val="continue"/>
            <w:tcBorders>
              <w:top w:val="nil"/>
              <w:left w:val="single" w:color="000000" w:sz="4" w:space="0"/>
              <w:bottom w:val="single" w:color="000000" w:sz="4" w:space="0"/>
              <w:right w:val="single" w:color="000000" w:sz="4" w:space="0"/>
            </w:tcBorders>
            <w:shd w:val="clear" w:color="auto" w:fill="FFFFFF"/>
            <w:tcMar>
              <w:top w:w="30" w:type="dxa"/>
              <w:left w:w="30" w:type="dxa"/>
              <w:bottom w:w="30" w:type="dxa"/>
              <w:right w:w="30" w:type="dxa"/>
            </w:tcMar>
            <w:vAlign w:val="center"/>
          </w:tcPr>
          <w:p>
            <w:pPr>
              <w:jc w:val="center"/>
              <w:rPr>
                <w:rFonts w:hint="eastAsia" w:ascii="微软雅黑" w:hAnsi="微软雅黑" w:eastAsia="微软雅黑" w:cs="微软雅黑"/>
                <w:i w:val="0"/>
                <w:iCs w:val="0"/>
                <w:caps w:val="0"/>
                <w:color w:val="333333"/>
                <w:spacing w:val="0"/>
                <w:sz w:val="14"/>
                <w:szCs w:val="14"/>
              </w:rPr>
            </w:pPr>
          </w:p>
        </w:tc>
        <w:tc>
          <w:tcPr>
            <w:tcW w:w="690" w:type="dxa"/>
            <w:vMerge w:val="restart"/>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（五）不予处理</w:t>
            </w:r>
          </w:p>
        </w:tc>
        <w:tc>
          <w:tcPr>
            <w:tcW w:w="100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left"/>
              <w:rPr>
                <w:sz w:val="14"/>
                <w:szCs w:val="14"/>
              </w:rPr>
            </w:pPr>
            <w:r>
              <w:rPr>
                <w:rFonts w:hint="eastAsia" w:ascii="宋体" w:hAnsi="宋体" w:eastAsia="宋体" w:cs="宋体"/>
                <w:i w:val="0"/>
                <w:iCs w:val="0"/>
                <w:caps w:val="0"/>
                <w:color w:val="333333"/>
                <w:spacing w:val="0"/>
                <w:sz w:val="18"/>
                <w:szCs w:val="18"/>
              </w:rPr>
              <w:t>1.信访举报投诉类申请</w:t>
            </w:r>
          </w:p>
        </w:tc>
        <w:tc>
          <w:tcPr>
            <w:tcW w:w="38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80" w:type="dxa"/>
            <w:vMerge w:val="continue"/>
            <w:tcBorders>
              <w:top w:val="nil"/>
              <w:left w:val="single" w:color="000000" w:sz="4" w:space="0"/>
              <w:bottom w:val="single" w:color="000000" w:sz="4" w:space="0"/>
              <w:right w:val="single" w:color="000000" w:sz="4" w:space="0"/>
            </w:tcBorders>
            <w:shd w:val="clear" w:color="auto" w:fill="FFFFFF"/>
            <w:tcMar>
              <w:top w:w="30" w:type="dxa"/>
              <w:left w:w="30" w:type="dxa"/>
              <w:bottom w:w="30" w:type="dxa"/>
              <w:right w:w="30" w:type="dxa"/>
            </w:tcMar>
            <w:vAlign w:val="center"/>
          </w:tcPr>
          <w:p>
            <w:pPr>
              <w:jc w:val="center"/>
              <w:rPr>
                <w:rFonts w:hint="eastAsia" w:ascii="微软雅黑" w:hAnsi="微软雅黑" w:eastAsia="微软雅黑" w:cs="微软雅黑"/>
                <w:i w:val="0"/>
                <w:iCs w:val="0"/>
                <w:caps w:val="0"/>
                <w:color w:val="333333"/>
                <w:spacing w:val="0"/>
                <w:sz w:val="14"/>
                <w:szCs w:val="14"/>
              </w:rPr>
            </w:pPr>
          </w:p>
        </w:tc>
        <w:tc>
          <w:tcPr>
            <w:tcW w:w="690" w:type="dxa"/>
            <w:vMerge w:val="continue"/>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jc w:val="center"/>
              <w:rPr>
                <w:rFonts w:hint="eastAsia" w:ascii="微软雅黑" w:hAnsi="微软雅黑" w:eastAsia="微软雅黑" w:cs="微软雅黑"/>
                <w:i w:val="0"/>
                <w:iCs w:val="0"/>
                <w:caps w:val="0"/>
                <w:color w:val="333333"/>
                <w:spacing w:val="0"/>
                <w:sz w:val="14"/>
                <w:szCs w:val="14"/>
              </w:rPr>
            </w:pPr>
          </w:p>
        </w:tc>
        <w:tc>
          <w:tcPr>
            <w:tcW w:w="100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left"/>
              <w:rPr>
                <w:sz w:val="14"/>
                <w:szCs w:val="14"/>
              </w:rPr>
            </w:pPr>
            <w:r>
              <w:rPr>
                <w:rFonts w:hint="eastAsia" w:ascii="宋体" w:hAnsi="宋体" w:eastAsia="宋体" w:cs="宋体"/>
                <w:i w:val="0"/>
                <w:iCs w:val="0"/>
                <w:caps w:val="0"/>
                <w:color w:val="333333"/>
                <w:spacing w:val="0"/>
                <w:sz w:val="18"/>
                <w:szCs w:val="18"/>
              </w:rPr>
              <w:t>2.重复申请</w:t>
            </w:r>
          </w:p>
        </w:tc>
        <w:tc>
          <w:tcPr>
            <w:tcW w:w="38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80" w:type="dxa"/>
            <w:vMerge w:val="continue"/>
            <w:tcBorders>
              <w:top w:val="nil"/>
              <w:left w:val="single" w:color="000000" w:sz="4" w:space="0"/>
              <w:bottom w:val="single" w:color="000000" w:sz="4" w:space="0"/>
              <w:right w:val="single" w:color="000000" w:sz="4" w:space="0"/>
            </w:tcBorders>
            <w:shd w:val="clear" w:color="auto" w:fill="FFFFFF"/>
            <w:tcMar>
              <w:top w:w="30" w:type="dxa"/>
              <w:left w:w="30" w:type="dxa"/>
              <w:bottom w:w="30" w:type="dxa"/>
              <w:right w:w="30" w:type="dxa"/>
            </w:tcMar>
            <w:vAlign w:val="center"/>
          </w:tcPr>
          <w:p>
            <w:pPr>
              <w:jc w:val="center"/>
              <w:rPr>
                <w:rFonts w:hint="eastAsia" w:ascii="微软雅黑" w:hAnsi="微软雅黑" w:eastAsia="微软雅黑" w:cs="微软雅黑"/>
                <w:i w:val="0"/>
                <w:iCs w:val="0"/>
                <w:caps w:val="0"/>
                <w:color w:val="333333"/>
                <w:spacing w:val="0"/>
                <w:sz w:val="14"/>
                <w:szCs w:val="14"/>
              </w:rPr>
            </w:pPr>
          </w:p>
        </w:tc>
        <w:tc>
          <w:tcPr>
            <w:tcW w:w="690" w:type="dxa"/>
            <w:vMerge w:val="continue"/>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jc w:val="center"/>
              <w:rPr>
                <w:rFonts w:hint="eastAsia" w:ascii="微软雅黑" w:hAnsi="微软雅黑" w:eastAsia="微软雅黑" w:cs="微软雅黑"/>
                <w:i w:val="0"/>
                <w:iCs w:val="0"/>
                <w:caps w:val="0"/>
                <w:color w:val="333333"/>
                <w:spacing w:val="0"/>
                <w:sz w:val="14"/>
                <w:szCs w:val="14"/>
              </w:rPr>
            </w:pPr>
          </w:p>
        </w:tc>
        <w:tc>
          <w:tcPr>
            <w:tcW w:w="100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left"/>
              <w:rPr>
                <w:sz w:val="14"/>
                <w:szCs w:val="14"/>
              </w:rPr>
            </w:pPr>
            <w:r>
              <w:rPr>
                <w:rFonts w:hint="eastAsia" w:ascii="宋体" w:hAnsi="宋体" w:eastAsia="宋体" w:cs="宋体"/>
                <w:i w:val="0"/>
                <w:iCs w:val="0"/>
                <w:caps w:val="0"/>
                <w:color w:val="333333"/>
                <w:spacing w:val="0"/>
                <w:sz w:val="18"/>
                <w:szCs w:val="18"/>
              </w:rPr>
              <w:t>3.要求提供公开出版物</w:t>
            </w:r>
          </w:p>
        </w:tc>
        <w:tc>
          <w:tcPr>
            <w:tcW w:w="38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80" w:type="dxa"/>
            <w:vMerge w:val="continue"/>
            <w:tcBorders>
              <w:top w:val="nil"/>
              <w:left w:val="single" w:color="000000" w:sz="4" w:space="0"/>
              <w:bottom w:val="single" w:color="000000" w:sz="4" w:space="0"/>
              <w:right w:val="single" w:color="000000" w:sz="4" w:space="0"/>
            </w:tcBorders>
            <w:shd w:val="clear" w:color="auto" w:fill="FFFFFF"/>
            <w:tcMar>
              <w:top w:w="30" w:type="dxa"/>
              <w:left w:w="30" w:type="dxa"/>
              <w:bottom w:w="30" w:type="dxa"/>
              <w:right w:w="30" w:type="dxa"/>
            </w:tcMar>
            <w:vAlign w:val="center"/>
          </w:tcPr>
          <w:p>
            <w:pPr>
              <w:jc w:val="center"/>
              <w:rPr>
                <w:rFonts w:hint="eastAsia" w:ascii="微软雅黑" w:hAnsi="微软雅黑" w:eastAsia="微软雅黑" w:cs="微软雅黑"/>
                <w:i w:val="0"/>
                <w:iCs w:val="0"/>
                <w:caps w:val="0"/>
                <w:color w:val="333333"/>
                <w:spacing w:val="0"/>
                <w:sz w:val="14"/>
                <w:szCs w:val="14"/>
              </w:rPr>
            </w:pPr>
          </w:p>
        </w:tc>
        <w:tc>
          <w:tcPr>
            <w:tcW w:w="690" w:type="dxa"/>
            <w:vMerge w:val="continue"/>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jc w:val="center"/>
              <w:rPr>
                <w:rFonts w:hint="eastAsia" w:ascii="微软雅黑" w:hAnsi="微软雅黑" w:eastAsia="微软雅黑" w:cs="微软雅黑"/>
                <w:i w:val="0"/>
                <w:iCs w:val="0"/>
                <w:caps w:val="0"/>
                <w:color w:val="333333"/>
                <w:spacing w:val="0"/>
                <w:sz w:val="14"/>
                <w:szCs w:val="14"/>
              </w:rPr>
            </w:pPr>
          </w:p>
        </w:tc>
        <w:tc>
          <w:tcPr>
            <w:tcW w:w="100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left"/>
              <w:rPr>
                <w:sz w:val="14"/>
                <w:szCs w:val="14"/>
              </w:rPr>
            </w:pPr>
            <w:r>
              <w:rPr>
                <w:rFonts w:hint="eastAsia" w:ascii="宋体" w:hAnsi="宋体" w:eastAsia="宋体" w:cs="宋体"/>
                <w:i w:val="0"/>
                <w:iCs w:val="0"/>
                <w:caps w:val="0"/>
                <w:color w:val="333333"/>
                <w:spacing w:val="0"/>
                <w:sz w:val="18"/>
                <w:szCs w:val="18"/>
              </w:rPr>
              <w:t>4.无正当理由大量反复申请</w:t>
            </w:r>
          </w:p>
        </w:tc>
        <w:tc>
          <w:tcPr>
            <w:tcW w:w="38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80" w:type="dxa"/>
            <w:vMerge w:val="continue"/>
            <w:tcBorders>
              <w:top w:val="nil"/>
              <w:left w:val="single" w:color="000000" w:sz="4" w:space="0"/>
              <w:bottom w:val="single" w:color="000000" w:sz="4" w:space="0"/>
              <w:right w:val="single" w:color="000000" w:sz="4" w:space="0"/>
            </w:tcBorders>
            <w:shd w:val="clear" w:color="auto" w:fill="FFFFFF"/>
            <w:tcMar>
              <w:top w:w="30" w:type="dxa"/>
              <w:left w:w="30" w:type="dxa"/>
              <w:bottom w:w="30" w:type="dxa"/>
              <w:right w:w="30" w:type="dxa"/>
            </w:tcMar>
            <w:vAlign w:val="center"/>
          </w:tcPr>
          <w:p>
            <w:pPr>
              <w:jc w:val="center"/>
              <w:rPr>
                <w:rFonts w:hint="eastAsia" w:ascii="微软雅黑" w:hAnsi="微软雅黑" w:eastAsia="微软雅黑" w:cs="微软雅黑"/>
                <w:i w:val="0"/>
                <w:iCs w:val="0"/>
                <w:caps w:val="0"/>
                <w:color w:val="333333"/>
                <w:spacing w:val="0"/>
                <w:sz w:val="14"/>
                <w:szCs w:val="14"/>
              </w:rPr>
            </w:pPr>
          </w:p>
        </w:tc>
        <w:tc>
          <w:tcPr>
            <w:tcW w:w="690" w:type="dxa"/>
            <w:vMerge w:val="continue"/>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jc w:val="center"/>
              <w:rPr>
                <w:rFonts w:hint="eastAsia" w:ascii="微软雅黑" w:hAnsi="微软雅黑" w:eastAsia="微软雅黑" w:cs="微软雅黑"/>
                <w:i w:val="0"/>
                <w:iCs w:val="0"/>
                <w:caps w:val="0"/>
                <w:color w:val="333333"/>
                <w:spacing w:val="0"/>
                <w:sz w:val="14"/>
                <w:szCs w:val="14"/>
              </w:rPr>
            </w:pPr>
          </w:p>
        </w:tc>
        <w:tc>
          <w:tcPr>
            <w:tcW w:w="100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left"/>
              <w:rPr>
                <w:sz w:val="14"/>
                <w:szCs w:val="14"/>
              </w:rPr>
            </w:pPr>
            <w:r>
              <w:rPr>
                <w:rFonts w:hint="eastAsia" w:ascii="宋体" w:hAnsi="宋体" w:eastAsia="宋体" w:cs="宋体"/>
                <w:i w:val="0"/>
                <w:iCs w:val="0"/>
                <w:caps w:val="0"/>
                <w:color w:val="333333"/>
                <w:spacing w:val="0"/>
                <w:sz w:val="18"/>
                <w:szCs w:val="18"/>
              </w:rPr>
              <w:t>5.要求行政机关确认或重新出具已获取信息</w:t>
            </w:r>
          </w:p>
        </w:tc>
        <w:tc>
          <w:tcPr>
            <w:tcW w:w="38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80" w:type="dxa"/>
            <w:vMerge w:val="continue"/>
            <w:tcBorders>
              <w:top w:val="nil"/>
              <w:left w:val="single" w:color="000000" w:sz="4" w:space="0"/>
              <w:bottom w:val="single" w:color="000000" w:sz="4" w:space="0"/>
              <w:right w:val="single" w:color="000000" w:sz="4" w:space="0"/>
            </w:tcBorders>
            <w:shd w:val="clear" w:color="auto" w:fill="FFFFFF"/>
            <w:tcMar>
              <w:top w:w="30" w:type="dxa"/>
              <w:left w:w="30" w:type="dxa"/>
              <w:bottom w:w="30" w:type="dxa"/>
              <w:right w:w="30" w:type="dxa"/>
            </w:tcMar>
            <w:vAlign w:val="center"/>
          </w:tcPr>
          <w:p>
            <w:pPr>
              <w:jc w:val="center"/>
              <w:rPr>
                <w:rFonts w:hint="eastAsia" w:ascii="微软雅黑" w:hAnsi="微软雅黑" w:eastAsia="微软雅黑" w:cs="微软雅黑"/>
                <w:i w:val="0"/>
                <w:iCs w:val="0"/>
                <w:caps w:val="0"/>
                <w:color w:val="333333"/>
                <w:spacing w:val="0"/>
                <w:sz w:val="14"/>
                <w:szCs w:val="14"/>
              </w:rPr>
            </w:pPr>
          </w:p>
        </w:tc>
        <w:tc>
          <w:tcPr>
            <w:tcW w:w="690" w:type="dxa"/>
            <w:vMerge w:val="restart"/>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（六）其他处理</w:t>
            </w:r>
          </w:p>
        </w:tc>
        <w:tc>
          <w:tcPr>
            <w:tcW w:w="100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left"/>
              <w:rPr>
                <w:sz w:val="14"/>
                <w:szCs w:val="14"/>
              </w:rPr>
            </w:pPr>
            <w:r>
              <w:rPr>
                <w:rFonts w:hint="eastAsia" w:ascii="宋体" w:hAnsi="宋体" w:eastAsia="宋体" w:cs="宋体"/>
                <w:i w:val="0"/>
                <w:iCs w:val="0"/>
                <w:caps w:val="0"/>
                <w:color w:val="333333"/>
                <w:spacing w:val="0"/>
                <w:sz w:val="18"/>
                <w:szCs w:val="18"/>
              </w:rPr>
              <w:t>1.申请人无正当理由逾期不补正、行政机关不再处理其政府信息公开申请</w:t>
            </w:r>
          </w:p>
        </w:tc>
        <w:tc>
          <w:tcPr>
            <w:tcW w:w="38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80" w:type="dxa"/>
            <w:vMerge w:val="continue"/>
            <w:tcBorders>
              <w:top w:val="nil"/>
              <w:left w:val="single" w:color="000000" w:sz="4" w:space="0"/>
              <w:bottom w:val="single" w:color="000000" w:sz="4" w:space="0"/>
              <w:right w:val="single" w:color="000000" w:sz="4" w:space="0"/>
            </w:tcBorders>
            <w:shd w:val="clear" w:color="auto" w:fill="FFFFFF"/>
            <w:tcMar>
              <w:top w:w="30" w:type="dxa"/>
              <w:left w:w="30" w:type="dxa"/>
              <w:bottom w:w="30" w:type="dxa"/>
              <w:right w:w="30" w:type="dxa"/>
            </w:tcMar>
            <w:vAlign w:val="center"/>
          </w:tcPr>
          <w:p>
            <w:pPr>
              <w:jc w:val="center"/>
              <w:rPr>
                <w:rFonts w:hint="eastAsia" w:ascii="微软雅黑" w:hAnsi="微软雅黑" w:eastAsia="微软雅黑" w:cs="微软雅黑"/>
                <w:i w:val="0"/>
                <w:iCs w:val="0"/>
                <w:caps w:val="0"/>
                <w:color w:val="333333"/>
                <w:spacing w:val="0"/>
                <w:sz w:val="14"/>
                <w:szCs w:val="14"/>
              </w:rPr>
            </w:pPr>
          </w:p>
        </w:tc>
        <w:tc>
          <w:tcPr>
            <w:tcW w:w="690" w:type="dxa"/>
            <w:vMerge w:val="continue"/>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jc w:val="center"/>
              <w:rPr>
                <w:rFonts w:hint="eastAsia" w:ascii="微软雅黑" w:hAnsi="微软雅黑" w:eastAsia="微软雅黑" w:cs="微软雅黑"/>
                <w:i w:val="0"/>
                <w:iCs w:val="0"/>
                <w:caps w:val="0"/>
                <w:color w:val="333333"/>
                <w:spacing w:val="0"/>
                <w:sz w:val="14"/>
                <w:szCs w:val="14"/>
              </w:rPr>
            </w:pPr>
          </w:p>
        </w:tc>
        <w:tc>
          <w:tcPr>
            <w:tcW w:w="100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left"/>
              <w:rPr>
                <w:sz w:val="14"/>
                <w:szCs w:val="14"/>
              </w:rPr>
            </w:pPr>
            <w:r>
              <w:rPr>
                <w:rFonts w:hint="eastAsia" w:ascii="宋体" w:hAnsi="宋体" w:eastAsia="宋体" w:cs="宋体"/>
                <w:i w:val="0"/>
                <w:iCs w:val="0"/>
                <w:caps w:val="0"/>
                <w:color w:val="333333"/>
                <w:spacing w:val="0"/>
                <w:sz w:val="18"/>
                <w:szCs w:val="18"/>
              </w:rPr>
              <w:t>2.申请人逾期未按收费通知要求缴纳费用、行政机关不再处理其政府信息公开申请</w:t>
            </w:r>
          </w:p>
        </w:tc>
        <w:tc>
          <w:tcPr>
            <w:tcW w:w="38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80" w:type="dxa"/>
            <w:vMerge w:val="continue"/>
            <w:tcBorders>
              <w:top w:val="nil"/>
              <w:left w:val="single" w:color="000000" w:sz="4" w:space="0"/>
              <w:bottom w:val="single" w:color="000000" w:sz="4" w:space="0"/>
              <w:right w:val="single" w:color="000000" w:sz="4" w:space="0"/>
            </w:tcBorders>
            <w:shd w:val="clear" w:color="auto" w:fill="FFFFFF"/>
            <w:tcMar>
              <w:top w:w="30" w:type="dxa"/>
              <w:left w:w="30" w:type="dxa"/>
              <w:bottom w:w="30" w:type="dxa"/>
              <w:right w:w="30" w:type="dxa"/>
            </w:tcMar>
            <w:vAlign w:val="center"/>
          </w:tcPr>
          <w:p>
            <w:pPr>
              <w:jc w:val="center"/>
              <w:rPr>
                <w:rFonts w:hint="eastAsia" w:ascii="微软雅黑" w:hAnsi="微软雅黑" w:eastAsia="微软雅黑" w:cs="微软雅黑"/>
                <w:i w:val="0"/>
                <w:iCs w:val="0"/>
                <w:caps w:val="0"/>
                <w:color w:val="333333"/>
                <w:spacing w:val="0"/>
                <w:sz w:val="14"/>
                <w:szCs w:val="14"/>
              </w:rPr>
            </w:pPr>
          </w:p>
        </w:tc>
        <w:tc>
          <w:tcPr>
            <w:tcW w:w="690" w:type="dxa"/>
            <w:vMerge w:val="continue"/>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jc w:val="center"/>
              <w:rPr>
                <w:rFonts w:hint="eastAsia" w:ascii="微软雅黑" w:hAnsi="微软雅黑" w:eastAsia="微软雅黑" w:cs="微软雅黑"/>
                <w:i w:val="0"/>
                <w:iCs w:val="0"/>
                <w:caps w:val="0"/>
                <w:color w:val="333333"/>
                <w:spacing w:val="0"/>
                <w:sz w:val="14"/>
                <w:szCs w:val="14"/>
              </w:rPr>
            </w:pPr>
          </w:p>
        </w:tc>
        <w:tc>
          <w:tcPr>
            <w:tcW w:w="100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left"/>
              <w:rPr>
                <w:sz w:val="14"/>
                <w:szCs w:val="14"/>
              </w:rPr>
            </w:pPr>
            <w:r>
              <w:rPr>
                <w:rFonts w:hint="eastAsia" w:ascii="宋体" w:hAnsi="宋体" w:eastAsia="宋体" w:cs="宋体"/>
                <w:i w:val="0"/>
                <w:iCs w:val="0"/>
                <w:caps w:val="0"/>
                <w:color w:val="333333"/>
                <w:spacing w:val="0"/>
                <w:sz w:val="18"/>
                <w:szCs w:val="18"/>
              </w:rPr>
              <w:t>3.其他</w:t>
            </w:r>
          </w:p>
        </w:tc>
        <w:tc>
          <w:tcPr>
            <w:tcW w:w="38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80" w:type="dxa"/>
            <w:vMerge w:val="continue"/>
            <w:tcBorders>
              <w:top w:val="nil"/>
              <w:left w:val="single" w:color="000000" w:sz="4" w:space="0"/>
              <w:bottom w:val="single" w:color="000000" w:sz="4" w:space="0"/>
              <w:right w:val="single" w:color="000000" w:sz="4" w:space="0"/>
            </w:tcBorders>
            <w:shd w:val="clear" w:color="auto" w:fill="FFFFFF"/>
            <w:tcMar>
              <w:top w:w="30" w:type="dxa"/>
              <w:left w:w="30" w:type="dxa"/>
              <w:bottom w:w="30" w:type="dxa"/>
              <w:right w:w="30" w:type="dxa"/>
            </w:tcMar>
            <w:vAlign w:val="center"/>
          </w:tcPr>
          <w:p>
            <w:pPr>
              <w:jc w:val="center"/>
              <w:rPr>
                <w:rFonts w:hint="eastAsia" w:ascii="微软雅黑" w:hAnsi="微软雅黑" w:eastAsia="微软雅黑" w:cs="微软雅黑"/>
                <w:i w:val="0"/>
                <w:iCs w:val="0"/>
                <w:caps w:val="0"/>
                <w:color w:val="333333"/>
                <w:spacing w:val="0"/>
                <w:sz w:val="14"/>
                <w:szCs w:val="14"/>
              </w:rPr>
            </w:pPr>
          </w:p>
        </w:tc>
        <w:tc>
          <w:tcPr>
            <w:tcW w:w="1690" w:type="dxa"/>
            <w:gridSpan w:val="2"/>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（七）总计</w:t>
            </w:r>
          </w:p>
        </w:tc>
        <w:tc>
          <w:tcPr>
            <w:tcW w:w="38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rFonts w:hint="eastAsia" w:eastAsiaTheme="minorEastAsia"/>
                <w:sz w:val="14"/>
                <w:szCs w:val="14"/>
                <w:lang w:eastAsia="zh-CN"/>
              </w:rPr>
            </w:pPr>
            <w:r>
              <w:rPr>
                <w:rFonts w:hint="eastAsia" w:ascii="宋体" w:hAnsi="宋体" w:eastAsia="宋体" w:cs="宋体"/>
                <w:i w:val="0"/>
                <w:iCs w:val="0"/>
                <w:caps w:val="0"/>
                <w:color w:val="333333"/>
                <w:spacing w:val="0"/>
                <w:sz w:val="18"/>
                <w:szCs w:val="18"/>
                <w:lang w:val="en-US" w:eastAsia="zh-CN"/>
              </w:rPr>
              <w:t>4</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rFonts w:hint="eastAsia" w:eastAsiaTheme="minorEastAsia"/>
                <w:sz w:val="14"/>
                <w:szCs w:val="14"/>
                <w:lang w:eastAsia="zh-CN"/>
              </w:rPr>
            </w:pPr>
            <w:r>
              <w:rPr>
                <w:rFonts w:hint="eastAsia" w:ascii="宋体" w:hAnsi="宋体" w:eastAsia="宋体" w:cs="宋体"/>
                <w:i w:val="0"/>
                <w:iCs w:val="0"/>
                <w:caps w:val="0"/>
                <w:color w:val="333333"/>
                <w:spacing w:val="0"/>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170" w:type="dxa"/>
            <w:gridSpan w:val="3"/>
            <w:tcBorders>
              <w:top w:val="nil"/>
              <w:left w:val="single" w:color="000000" w:sz="4" w:space="0"/>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四、结转下年度继续办理</w:t>
            </w:r>
          </w:p>
        </w:tc>
        <w:tc>
          <w:tcPr>
            <w:tcW w:w="38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5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66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70" w:type="dxa"/>
            <w:tcBorders>
              <w:top w:val="nil"/>
              <w:left w:val="nil"/>
              <w:bottom w:val="single" w:color="000000" w:sz="4" w:space="0"/>
              <w:right w:val="single" w:color="000000" w:sz="4" w:space="0"/>
            </w:tcBorders>
            <w:shd w:val="clear" w:color="auto" w:fill="FFFFFF"/>
            <w:tcMar>
              <w:top w:w="30" w:type="dxa"/>
              <w:left w:w="30" w:type="dxa"/>
              <w:bottom w:w="30" w:type="dxa"/>
              <w:right w:w="3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r>
    </w:tbl>
    <w:p>
      <w:pPr>
        <w:pStyle w:val="2"/>
        <w:rPr>
          <w:rFonts w:hint="eastAsia"/>
          <w:sz w:val="32"/>
          <w:szCs w:val="32"/>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0" w:firstLine="0"/>
        <w:rPr>
          <w:rFonts w:hint="eastAsia" w:ascii="宋体" w:hAnsi="宋体" w:eastAsia="宋体" w:cs="宋体"/>
          <w:i w:val="0"/>
          <w:iCs w:val="0"/>
          <w:caps w:val="0"/>
          <w:color w:val="333333"/>
          <w:spacing w:val="0"/>
          <w:sz w:val="18"/>
          <w:szCs w:val="18"/>
          <w:shd w:val="clear" w:fill="FFFFFF"/>
        </w:rPr>
      </w:pPr>
      <w:r>
        <w:rPr>
          <w:rFonts w:hint="eastAsia" w:ascii="宋体" w:hAnsi="宋体" w:eastAsia="宋体" w:cs="宋体"/>
          <w:i w:val="0"/>
          <w:iCs w:val="0"/>
          <w:caps w:val="0"/>
          <w:color w:val="333333"/>
          <w:spacing w:val="0"/>
          <w:sz w:val="18"/>
          <w:szCs w:val="18"/>
          <w:shd w:val="clear" w:fill="FFFFFF"/>
        </w:rPr>
        <w:t> </w:t>
      </w:r>
    </w:p>
    <w:p>
      <w:pPr>
        <w:rPr>
          <w:rFonts w:hint="eastAsia"/>
          <w:sz w:val="32"/>
          <w:szCs w:val="32"/>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right="0"/>
        <w:rPr>
          <w:rFonts w:hint="eastAsia" w:ascii="黑体" w:hAnsi="黑体" w:eastAsia="黑体" w:cs="黑体"/>
          <w:i w:val="0"/>
          <w:iCs w:val="0"/>
          <w:caps w:val="0"/>
          <w:color w:val="333333"/>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right="0" w:firstLine="640" w:firstLineChars="200"/>
        <w:rPr>
          <w:rFonts w:hint="eastAsia" w:ascii="黑体" w:hAnsi="黑体" w:eastAsia="黑体" w:cs="黑体"/>
          <w:i w:val="0"/>
          <w:iCs w:val="0"/>
          <w:caps w:val="0"/>
          <w:color w:val="333333"/>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right="0" w:firstLine="640" w:firstLineChars="200"/>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四、政府信息公开行政复议、行政诉讼情况</w:t>
      </w:r>
    </w:p>
    <w:tbl>
      <w:tblPr>
        <w:tblStyle w:val="9"/>
        <w:tblW w:w="59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69"/>
        <w:gridCol w:w="379"/>
        <w:gridCol w:w="469"/>
        <w:gridCol w:w="379"/>
        <w:gridCol w:w="379"/>
        <w:gridCol w:w="379"/>
        <w:gridCol w:w="379"/>
        <w:gridCol w:w="379"/>
        <w:gridCol w:w="469"/>
        <w:gridCol w:w="379"/>
        <w:gridCol w:w="470"/>
        <w:gridCol w:w="380"/>
        <w:gridCol w:w="380"/>
        <w:gridCol w:w="380"/>
        <w:gridCol w:w="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975" w:type="dxa"/>
            <w:gridSpan w:val="5"/>
            <w:tcBorders>
              <w:top w:val="single" w:color="000000" w:sz="4" w:space="0"/>
              <w:left w:val="single" w:color="000000" w:sz="4" w:space="0"/>
              <w:bottom w:val="single" w:color="000000" w:sz="4" w:space="0"/>
              <w:right w:val="single" w:color="000000" w:sz="4" w:space="0"/>
            </w:tcBorders>
            <w:shd w:val="clear" w:color="auto" w:fill="FFFFFF"/>
            <w:tcMar>
              <w:top w:w="30" w:type="dxa"/>
              <w:left w:w="50" w:type="dxa"/>
              <w:bottom w:w="30" w:type="dxa"/>
              <w:right w:w="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行政复议</w:t>
            </w:r>
          </w:p>
        </w:tc>
        <w:tc>
          <w:tcPr>
            <w:tcW w:w="3975" w:type="dxa"/>
            <w:gridSpan w:val="10"/>
            <w:tcBorders>
              <w:top w:val="single" w:color="000000" w:sz="4" w:space="0"/>
              <w:left w:val="nil"/>
              <w:bottom w:val="single" w:color="000000" w:sz="4" w:space="0"/>
              <w:right w:val="single" w:color="000000" w:sz="4" w:space="0"/>
            </w:tcBorders>
            <w:shd w:val="clear" w:color="auto" w:fill="FFFFFF"/>
            <w:tcMar>
              <w:top w:w="30" w:type="dxa"/>
              <w:left w:w="50" w:type="dxa"/>
              <w:bottom w:w="30" w:type="dxa"/>
              <w:right w:w="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369" w:type="dxa"/>
            <w:vMerge w:val="restart"/>
            <w:tcBorders>
              <w:top w:val="nil"/>
              <w:left w:val="single" w:color="000000" w:sz="4" w:space="0"/>
              <w:bottom w:val="single" w:color="000000" w:sz="4" w:space="0"/>
              <w:right w:val="single" w:color="000000" w:sz="4" w:space="0"/>
            </w:tcBorders>
            <w:shd w:val="clear" w:color="auto" w:fill="FFFFFF"/>
            <w:tcMar>
              <w:top w:w="30" w:type="dxa"/>
              <w:left w:w="50" w:type="dxa"/>
              <w:bottom w:w="30" w:type="dxa"/>
              <w:right w:w="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结果维持</w:t>
            </w:r>
          </w:p>
        </w:tc>
        <w:tc>
          <w:tcPr>
            <w:tcW w:w="379" w:type="dxa"/>
            <w:vMerge w:val="restart"/>
            <w:tcBorders>
              <w:top w:val="nil"/>
              <w:left w:val="nil"/>
              <w:bottom w:val="single" w:color="000000" w:sz="4" w:space="0"/>
              <w:right w:val="single" w:color="000000" w:sz="4" w:space="0"/>
            </w:tcBorders>
            <w:shd w:val="clear" w:color="auto" w:fill="FFFFFF"/>
            <w:tcMar>
              <w:top w:w="30" w:type="dxa"/>
              <w:left w:w="50" w:type="dxa"/>
              <w:bottom w:w="30" w:type="dxa"/>
              <w:right w:w="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结果纠正</w:t>
            </w:r>
          </w:p>
        </w:tc>
        <w:tc>
          <w:tcPr>
            <w:tcW w:w="469" w:type="dxa"/>
            <w:vMerge w:val="restart"/>
            <w:tcBorders>
              <w:top w:val="single" w:color="000000" w:sz="4" w:space="0"/>
              <w:left w:val="nil"/>
              <w:bottom w:val="single" w:color="000000" w:sz="4" w:space="0"/>
              <w:right w:val="single" w:color="000000" w:sz="4" w:space="0"/>
            </w:tcBorders>
            <w:shd w:val="clear" w:color="auto" w:fill="FFFFFF"/>
            <w:tcMar>
              <w:top w:w="30" w:type="dxa"/>
              <w:left w:w="50" w:type="dxa"/>
              <w:bottom w:w="30" w:type="dxa"/>
              <w:right w:w="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其他结果</w:t>
            </w:r>
          </w:p>
        </w:tc>
        <w:tc>
          <w:tcPr>
            <w:tcW w:w="379" w:type="dxa"/>
            <w:vMerge w:val="restart"/>
            <w:tcBorders>
              <w:top w:val="single" w:color="000000" w:sz="4" w:space="0"/>
              <w:left w:val="nil"/>
              <w:bottom w:val="single" w:color="000000" w:sz="4" w:space="0"/>
              <w:right w:val="single" w:color="000000" w:sz="4" w:space="0"/>
            </w:tcBorders>
            <w:shd w:val="clear" w:color="auto" w:fill="FFFFFF"/>
            <w:tcMar>
              <w:top w:w="30" w:type="dxa"/>
              <w:left w:w="50" w:type="dxa"/>
              <w:bottom w:w="30" w:type="dxa"/>
              <w:right w:w="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尚未审结</w:t>
            </w:r>
          </w:p>
        </w:tc>
        <w:tc>
          <w:tcPr>
            <w:tcW w:w="379" w:type="dxa"/>
            <w:vMerge w:val="restart"/>
            <w:tcBorders>
              <w:top w:val="single" w:color="000000" w:sz="4" w:space="0"/>
              <w:left w:val="nil"/>
              <w:bottom w:val="single" w:color="000000" w:sz="4" w:space="0"/>
              <w:right w:val="single" w:color="000000" w:sz="4" w:space="0"/>
            </w:tcBorders>
            <w:shd w:val="clear" w:color="auto" w:fill="FFFFFF"/>
            <w:tcMar>
              <w:top w:w="30" w:type="dxa"/>
              <w:left w:w="50" w:type="dxa"/>
              <w:bottom w:w="30" w:type="dxa"/>
              <w:right w:w="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总计</w:t>
            </w:r>
          </w:p>
        </w:tc>
        <w:tc>
          <w:tcPr>
            <w:tcW w:w="1985" w:type="dxa"/>
            <w:gridSpan w:val="5"/>
            <w:tcBorders>
              <w:top w:val="single" w:color="000000" w:sz="4" w:space="0"/>
              <w:left w:val="nil"/>
              <w:bottom w:val="single" w:color="000000" w:sz="4" w:space="0"/>
              <w:right w:val="single" w:color="000000" w:sz="4" w:space="0"/>
            </w:tcBorders>
            <w:shd w:val="clear" w:color="auto" w:fill="FFFFFF"/>
            <w:tcMar>
              <w:top w:w="30" w:type="dxa"/>
              <w:left w:w="50" w:type="dxa"/>
              <w:bottom w:w="30" w:type="dxa"/>
              <w:right w:w="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未经复议直接起诉</w:t>
            </w:r>
          </w:p>
        </w:tc>
        <w:tc>
          <w:tcPr>
            <w:tcW w:w="1990" w:type="dxa"/>
            <w:gridSpan w:val="5"/>
            <w:tcBorders>
              <w:top w:val="single" w:color="000000" w:sz="4" w:space="0"/>
              <w:left w:val="nil"/>
              <w:bottom w:val="single" w:color="000000" w:sz="4" w:space="0"/>
              <w:right w:val="single" w:color="000000" w:sz="4" w:space="0"/>
            </w:tcBorders>
            <w:shd w:val="clear" w:color="auto" w:fill="FFFFFF"/>
            <w:tcMar>
              <w:top w:w="30" w:type="dxa"/>
              <w:left w:w="50" w:type="dxa"/>
              <w:bottom w:w="30" w:type="dxa"/>
              <w:right w:w="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369" w:type="dxa"/>
            <w:vMerge w:val="continue"/>
            <w:tcBorders>
              <w:top w:val="nil"/>
              <w:left w:val="single" w:color="000000" w:sz="4" w:space="0"/>
              <w:bottom w:val="single" w:color="000000" w:sz="4" w:space="0"/>
              <w:right w:val="single" w:color="000000" w:sz="4" w:space="0"/>
            </w:tcBorders>
            <w:shd w:val="clear" w:color="auto" w:fill="FFFFFF"/>
            <w:tcMar>
              <w:top w:w="30" w:type="dxa"/>
              <w:left w:w="50" w:type="dxa"/>
              <w:bottom w:w="30" w:type="dxa"/>
              <w:right w:w="50" w:type="dxa"/>
            </w:tcMar>
            <w:vAlign w:val="center"/>
          </w:tcPr>
          <w:p>
            <w:pPr>
              <w:jc w:val="center"/>
              <w:rPr>
                <w:rFonts w:hint="eastAsia" w:ascii="微软雅黑" w:hAnsi="微软雅黑" w:eastAsia="微软雅黑" w:cs="微软雅黑"/>
                <w:i w:val="0"/>
                <w:iCs w:val="0"/>
                <w:caps w:val="0"/>
                <w:color w:val="333333"/>
                <w:spacing w:val="0"/>
                <w:sz w:val="14"/>
                <w:szCs w:val="14"/>
              </w:rPr>
            </w:pPr>
          </w:p>
        </w:tc>
        <w:tc>
          <w:tcPr>
            <w:tcW w:w="379" w:type="dxa"/>
            <w:vMerge w:val="continue"/>
            <w:tcBorders>
              <w:top w:val="nil"/>
              <w:left w:val="nil"/>
              <w:bottom w:val="single" w:color="000000" w:sz="4" w:space="0"/>
              <w:right w:val="single" w:color="000000" w:sz="4" w:space="0"/>
            </w:tcBorders>
            <w:shd w:val="clear" w:color="auto" w:fill="FFFFFF"/>
            <w:tcMar>
              <w:top w:w="30" w:type="dxa"/>
              <w:left w:w="50" w:type="dxa"/>
              <w:bottom w:w="30" w:type="dxa"/>
              <w:right w:w="50" w:type="dxa"/>
            </w:tcMar>
            <w:vAlign w:val="center"/>
          </w:tcPr>
          <w:p>
            <w:pPr>
              <w:jc w:val="center"/>
              <w:rPr>
                <w:rFonts w:hint="eastAsia" w:ascii="微软雅黑" w:hAnsi="微软雅黑" w:eastAsia="微软雅黑" w:cs="微软雅黑"/>
                <w:i w:val="0"/>
                <w:iCs w:val="0"/>
                <w:caps w:val="0"/>
                <w:color w:val="333333"/>
                <w:spacing w:val="0"/>
                <w:sz w:val="14"/>
                <w:szCs w:val="14"/>
              </w:rPr>
            </w:pPr>
          </w:p>
        </w:tc>
        <w:tc>
          <w:tcPr>
            <w:tcW w:w="469" w:type="dxa"/>
            <w:vMerge w:val="continue"/>
            <w:tcBorders>
              <w:top w:val="single" w:color="000000" w:sz="4" w:space="0"/>
              <w:left w:val="nil"/>
              <w:bottom w:val="single" w:color="000000" w:sz="4" w:space="0"/>
              <w:right w:val="single" w:color="000000" w:sz="4" w:space="0"/>
            </w:tcBorders>
            <w:shd w:val="clear" w:color="auto" w:fill="FFFFFF"/>
            <w:tcMar>
              <w:top w:w="30" w:type="dxa"/>
              <w:left w:w="50" w:type="dxa"/>
              <w:bottom w:w="30" w:type="dxa"/>
              <w:right w:w="50" w:type="dxa"/>
            </w:tcMar>
            <w:vAlign w:val="center"/>
          </w:tcPr>
          <w:p>
            <w:pPr>
              <w:jc w:val="center"/>
              <w:rPr>
                <w:rFonts w:hint="eastAsia" w:ascii="微软雅黑" w:hAnsi="微软雅黑" w:eastAsia="微软雅黑" w:cs="微软雅黑"/>
                <w:i w:val="0"/>
                <w:iCs w:val="0"/>
                <w:caps w:val="0"/>
                <w:color w:val="333333"/>
                <w:spacing w:val="0"/>
                <w:sz w:val="14"/>
                <w:szCs w:val="14"/>
              </w:rPr>
            </w:pPr>
          </w:p>
        </w:tc>
        <w:tc>
          <w:tcPr>
            <w:tcW w:w="379" w:type="dxa"/>
            <w:vMerge w:val="continue"/>
            <w:tcBorders>
              <w:top w:val="single" w:color="000000" w:sz="4" w:space="0"/>
              <w:left w:val="nil"/>
              <w:bottom w:val="single" w:color="000000" w:sz="4" w:space="0"/>
              <w:right w:val="single" w:color="000000" w:sz="4" w:space="0"/>
            </w:tcBorders>
            <w:shd w:val="clear" w:color="auto" w:fill="FFFFFF"/>
            <w:tcMar>
              <w:top w:w="30" w:type="dxa"/>
              <w:left w:w="50" w:type="dxa"/>
              <w:bottom w:w="30" w:type="dxa"/>
              <w:right w:w="50" w:type="dxa"/>
            </w:tcMar>
            <w:vAlign w:val="center"/>
          </w:tcPr>
          <w:p>
            <w:pPr>
              <w:jc w:val="center"/>
              <w:rPr>
                <w:rFonts w:hint="eastAsia" w:ascii="微软雅黑" w:hAnsi="微软雅黑" w:eastAsia="微软雅黑" w:cs="微软雅黑"/>
                <w:i w:val="0"/>
                <w:iCs w:val="0"/>
                <w:caps w:val="0"/>
                <w:color w:val="333333"/>
                <w:spacing w:val="0"/>
                <w:sz w:val="14"/>
                <w:szCs w:val="14"/>
              </w:rPr>
            </w:pPr>
          </w:p>
        </w:tc>
        <w:tc>
          <w:tcPr>
            <w:tcW w:w="379" w:type="dxa"/>
            <w:vMerge w:val="continue"/>
            <w:tcBorders>
              <w:top w:val="single" w:color="000000" w:sz="4" w:space="0"/>
              <w:left w:val="nil"/>
              <w:bottom w:val="single" w:color="000000" w:sz="4" w:space="0"/>
              <w:right w:val="single" w:color="000000" w:sz="4" w:space="0"/>
            </w:tcBorders>
            <w:shd w:val="clear" w:color="auto" w:fill="FFFFFF"/>
            <w:tcMar>
              <w:top w:w="30" w:type="dxa"/>
              <w:left w:w="50" w:type="dxa"/>
              <w:bottom w:w="30" w:type="dxa"/>
              <w:right w:w="50" w:type="dxa"/>
            </w:tcMar>
            <w:vAlign w:val="center"/>
          </w:tcPr>
          <w:p>
            <w:pPr>
              <w:jc w:val="center"/>
              <w:rPr>
                <w:rFonts w:hint="eastAsia" w:ascii="微软雅黑" w:hAnsi="微软雅黑" w:eastAsia="微软雅黑" w:cs="微软雅黑"/>
                <w:i w:val="0"/>
                <w:iCs w:val="0"/>
                <w:caps w:val="0"/>
                <w:color w:val="333333"/>
                <w:spacing w:val="0"/>
                <w:sz w:val="14"/>
                <w:szCs w:val="14"/>
              </w:rPr>
            </w:pPr>
          </w:p>
        </w:tc>
        <w:tc>
          <w:tcPr>
            <w:tcW w:w="379" w:type="dxa"/>
            <w:tcBorders>
              <w:top w:val="nil"/>
              <w:left w:val="nil"/>
              <w:bottom w:val="single" w:color="000000" w:sz="4" w:space="0"/>
              <w:right w:val="single" w:color="000000" w:sz="4" w:space="0"/>
            </w:tcBorders>
            <w:shd w:val="clear" w:color="auto" w:fill="FFFFFF"/>
            <w:tcMar>
              <w:top w:w="30" w:type="dxa"/>
              <w:left w:w="50" w:type="dxa"/>
              <w:bottom w:w="30" w:type="dxa"/>
              <w:right w:w="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结果维持</w:t>
            </w:r>
          </w:p>
        </w:tc>
        <w:tc>
          <w:tcPr>
            <w:tcW w:w="379" w:type="dxa"/>
            <w:tcBorders>
              <w:top w:val="nil"/>
              <w:left w:val="nil"/>
              <w:bottom w:val="single" w:color="000000" w:sz="4" w:space="0"/>
              <w:right w:val="single" w:color="000000" w:sz="4" w:space="0"/>
            </w:tcBorders>
            <w:shd w:val="clear" w:color="auto" w:fill="FFFFFF"/>
            <w:tcMar>
              <w:top w:w="30" w:type="dxa"/>
              <w:left w:w="50" w:type="dxa"/>
              <w:bottom w:w="30" w:type="dxa"/>
              <w:right w:w="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结果纠正</w:t>
            </w:r>
          </w:p>
        </w:tc>
        <w:tc>
          <w:tcPr>
            <w:tcW w:w="379" w:type="dxa"/>
            <w:tcBorders>
              <w:top w:val="single" w:color="000000" w:sz="4" w:space="0"/>
              <w:left w:val="nil"/>
              <w:bottom w:val="single" w:color="000000" w:sz="4" w:space="0"/>
              <w:right w:val="single" w:color="000000" w:sz="4" w:space="0"/>
            </w:tcBorders>
            <w:shd w:val="clear" w:color="auto" w:fill="FFFFFF"/>
            <w:tcMar>
              <w:top w:w="30" w:type="dxa"/>
              <w:left w:w="50" w:type="dxa"/>
              <w:bottom w:w="30" w:type="dxa"/>
              <w:right w:w="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其他结果</w:t>
            </w:r>
          </w:p>
        </w:tc>
        <w:tc>
          <w:tcPr>
            <w:tcW w:w="469" w:type="dxa"/>
            <w:tcBorders>
              <w:top w:val="single" w:color="000000" w:sz="4" w:space="0"/>
              <w:left w:val="nil"/>
              <w:bottom w:val="single" w:color="000000" w:sz="4" w:space="0"/>
              <w:right w:val="single" w:color="000000" w:sz="4" w:space="0"/>
            </w:tcBorders>
            <w:shd w:val="clear" w:color="auto" w:fill="FFFFFF"/>
            <w:tcMar>
              <w:top w:w="30" w:type="dxa"/>
              <w:left w:w="50" w:type="dxa"/>
              <w:bottom w:w="30" w:type="dxa"/>
              <w:right w:w="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尚未审结</w:t>
            </w:r>
          </w:p>
        </w:tc>
        <w:tc>
          <w:tcPr>
            <w:tcW w:w="379" w:type="dxa"/>
            <w:tcBorders>
              <w:top w:val="single" w:color="000000" w:sz="4" w:space="0"/>
              <w:left w:val="nil"/>
              <w:bottom w:val="single" w:color="000000" w:sz="4" w:space="0"/>
              <w:right w:val="single" w:color="000000" w:sz="4" w:space="0"/>
            </w:tcBorders>
            <w:shd w:val="clear" w:color="auto" w:fill="FFFFFF"/>
            <w:tcMar>
              <w:top w:w="30" w:type="dxa"/>
              <w:left w:w="50" w:type="dxa"/>
              <w:bottom w:w="30" w:type="dxa"/>
              <w:right w:w="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总计</w:t>
            </w:r>
          </w:p>
        </w:tc>
        <w:tc>
          <w:tcPr>
            <w:tcW w:w="470" w:type="dxa"/>
            <w:tcBorders>
              <w:top w:val="single" w:color="000000" w:sz="4" w:space="0"/>
              <w:left w:val="nil"/>
              <w:bottom w:val="single" w:color="000000" w:sz="4" w:space="0"/>
              <w:right w:val="single" w:color="000000" w:sz="4" w:space="0"/>
            </w:tcBorders>
            <w:shd w:val="clear" w:color="auto" w:fill="FFFFFF"/>
            <w:tcMar>
              <w:top w:w="30" w:type="dxa"/>
              <w:left w:w="50" w:type="dxa"/>
              <w:bottom w:w="30" w:type="dxa"/>
              <w:right w:w="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结果维持</w:t>
            </w:r>
          </w:p>
        </w:tc>
        <w:tc>
          <w:tcPr>
            <w:tcW w:w="380" w:type="dxa"/>
            <w:tcBorders>
              <w:top w:val="single" w:color="000000" w:sz="4" w:space="0"/>
              <w:left w:val="nil"/>
              <w:bottom w:val="single" w:color="000000" w:sz="4" w:space="0"/>
              <w:right w:val="single" w:color="000000" w:sz="4" w:space="0"/>
            </w:tcBorders>
            <w:shd w:val="clear" w:color="auto" w:fill="FFFFFF"/>
            <w:tcMar>
              <w:top w:w="30" w:type="dxa"/>
              <w:left w:w="50" w:type="dxa"/>
              <w:bottom w:w="30" w:type="dxa"/>
              <w:right w:w="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结果纠正</w:t>
            </w:r>
          </w:p>
        </w:tc>
        <w:tc>
          <w:tcPr>
            <w:tcW w:w="380" w:type="dxa"/>
            <w:tcBorders>
              <w:top w:val="single" w:color="000000" w:sz="4" w:space="0"/>
              <w:left w:val="nil"/>
              <w:bottom w:val="single" w:color="000000" w:sz="4" w:space="0"/>
              <w:right w:val="single" w:color="000000" w:sz="4" w:space="0"/>
            </w:tcBorders>
            <w:shd w:val="clear" w:color="auto" w:fill="FFFFFF"/>
            <w:tcMar>
              <w:top w:w="30" w:type="dxa"/>
              <w:left w:w="50" w:type="dxa"/>
              <w:bottom w:w="30" w:type="dxa"/>
              <w:right w:w="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其他结果</w:t>
            </w:r>
          </w:p>
        </w:tc>
        <w:tc>
          <w:tcPr>
            <w:tcW w:w="380" w:type="dxa"/>
            <w:tcBorders>
              <w:top w:val="single" w:color="000000" w:sz="4" w:space="0"/>
              <w:left w:val="nil"/>
              <w:bottom w:val="single" w:color="000000" w:sz="4" w:space="0"/>
              <w:right w:val="single" w:color="000000" w:sz="4" w:space="0"/>
            </w:tcBorders>
            <w:shd w:val="clear" w:color="auto" w:fill="FFFFFF"/>
            <w:tcMar>
              <w:top w:w="30" w:type="dxa"/>
              <w:left w:w="50" w:type="dxa"/>
              <w:bottom w:w="30" w:type="dxa"/>
              <w:right w:w="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尚未审结</w:t>
            </w:r>
          </w:p>
        </w:tc>
        <w:tc>
          <w:tcPr>
            <w:tcW w:w="380" w:type="dxa"/>
            <w:tcBorders>
              <w:top w:val="single" w:color="000000" w:sz="4" w:space="0"/>
              <w:left w:val="nil"/>
              <w:bottom w:val="single" w:color="000000" w:sz="4" w:space="0"/>
              <w:right w:val="single" w:color="000000" w:sz="4" w:space="0"/>
            </w:tcBorders>
            <w:shd w:val="clear" w:color="auto" w:fill="FFFFFF"/>
            <w:tcMar>
              <w:top w:w="30" w:type="dxa"/>
              <w:left w:w="50" w:type="dxa"/>
              <w:bottom w:w="30" w:type="dxa"/>
              <w:right w:w="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369" w:type="dxa"/>
            <w:tcBorders>
              <w:top w:val="nil"/>
              <w:left w:val="single" w:color="000000" w:sz="4" w:space="0"/>
              <w:bottom w:val="single" w:color="000000" w:sz="4" w:space="0"/>
              <w:right w:val="single" w:color="000000" w:sz="4" w:space="0"/>
            </w:tcBorders>
            <w:shd w:val="clear" w:color="auto" w:fill="FFFFFF"/>
            <w:tcMar>
              <w:top w:w="30" w:type="dxa"/>
              <w:left w:w="50" w:type="dxa"/>
              <w:bottom w:w="30" w:type="dxa"/>
              <w:right w:w="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rFonts w:hint="eastAsia" w:eastAsiaTheme="minorEastAsia"/>
                <w:sz w:val="14"/>
                <w:szCs w:val="14"/>
                <w:lang w:eastAsia="zh-CN"/>
              </w:rPr>
            </w:pPr>
            <w:r>
              <w:rPr>
                <w:rFonts w:hint="eastAsia" w:ascii="宋体" w:hAnsi="宋体" w:eastAsia="宋体" w:cs="宋体"/>
                <w:i w:val="0"/>
                <w:iCs w:val="0"/>
                <w:caps w:val="0"/>
                <w:color w:val="333333"/>
                <w:spacing w:val="0"/>
                <w:sz w:val="18"/>
                <w:szCs w:val="18"/>
                <w:lang w:val="en-US" w:eastAsia="zh-CN"/>
              </w:rPr>
              <w:t>1</w:t>
            </w:r>
          </w:p>
        </w:tc>
        <w:tc>
          <w:tcPr>
            <w:tcW w:w="379" w:type="dxa"/>
            <w:tcBorders>
              <w:top w:val="nil"/>
              <w:left w:val="nil"/>
              <w:bottom w:val="single" w:color="000000" w:sz="4" w:space="0"/>
              <w:right w:val="single" w:color="000000" w:sz="4" w:space="0"/>
            </w:tcBorders>
            <w:shd w:val="clear" w:color="auto" w:fill="FFFFFF"/>
            <w:tcMar>
              <w:top w:w="30" w:type="dxa"/>
              <w:left w:w="50" w:type="dxa"/>
              <w:bottom w:w="30" w:type="dxa"/>
              <w:right w:w="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69" w:type="dxa"/>
            <w:tcBorders>
              <w:top w:val="nil"/>
              <w:left w:val="nil"/>
              <w:bottom w:val="single" w:color="000000" w:sz="4" w:space="0"/>
              <w:right w:val="single" w:color="000000" w:sz="4" w:space="0"/>
            </w:tcBorders>
            <w:shd w:val="clear" w:color="auto" w:fill="FFFFFF"/>
            <w:tcMar>
              <w:top w:w="30" w:type="dxa"/>
              <w:left w:w="50" w:type="dxa"/>
              <w:bottom w:w="30" w:type="dxa"/>
              <w:right w:w="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379" w:type="dxa"/>
            <w:tcBorders>
              <w:top w:val="nil"/>
              <w:left w:val="nil"/>
              <w:bottom w:val="single" w:color="000000" w:sz="4" w:space="0"/>
              <w:right w:val="single" w:color="000000" w:sz="4" w:space="0"/>
            </w:tcBorders>
            <w:shd w:val="clear" w:color="auto" w:fill="FFFFFF"/>
            <w:tcMar>
              <w:top w:w="30" w:type="dxa"/>
              <w:left w:w="50" w:type="dxa"/>
              <w:bottom w:w="30" w:type="dxa"/>
              <w:right w:w="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379" w:type="dxa"/>
            <w:tcBorders>
              <w:top w:val="nil"/>
              <w:left w:val="nil"/>
              <w:bottom w:val="single" w:color="000000" w:sz="4" w:space="0"/>
              <w:right w:val="single" w:color="000000" w:sz="4" w:space="0"/>
            </w:tcBorders>
            <w:shd w:val="clear" w:color="auto" w:fill="FFFFFF"/>
            <w:tcMar>
              <w:top w:w="30" w:type="dxa"/>
              <w:left w:w="50" w:type="dxa"/>
              <w:bottom w:w="30" w:type="dxa"/>
              <w:right w:w="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rFonts w:hint="eastAsia" w:eastAsiaTheme="minorEastAsia"/>
                <w:sz w:val="14"/>
                <w:szCs w:val="14"/>
                <w:lang w:eastAsia="zh-CN"/>
              </w:rPr>
            </w:pPr>
            <w:r>
              <w:rPr>
                <w:rFonts w:hint="eastAsia" w:ascii="宋体" w:hAnsi="宋体" w:eastAsia="宋体" w:cs="宋体"/>
                <w:i w:val="0"/>
                <w:iCs w:val="0"/>
                <w:caps w:val="0"/>
                <w:color w:val="333333"/>
                <w:spacing w:val="0"/>
                <w:sz w:val="18"/>
                <w:szCs w:val="18"/>
                <w:lang w:val="en-US" w:eastAsia="zh-CN"/>
              </w:rPr>
              <w:t>1</w:t>
            </w:r>
          </w:p>
        </w:tc>
        <w:tc>
          <w:tcPr>
            <w:tcW w:w="379" w:type="dxa"/>
            <w:tcBorders>
              <w:top w:val="nil"/>
              <w:left w:val="nil"/>
              <w:bottom w:val="single" w:color="000000" w:sz="4" w:space="0"/>
              <w:right w:val="single" w:color="000000" w:sz="4" w:space="0"/>
            </w:tcBorders>
            <w:shd w:val="clear" w:color="auto" w:fill="FFFFFF"/>
            <w:tcMar>
              <w:top w:w="30" w:type="dxa"/>
              <w:left w:w="50" w:type="dxa"/>
              <w:bottom w:w="30" w:type="dxa"/>
              <w:right w:w="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rFonts w:hint="eastAsia" w:eastAsiaTheme="minorEastAsia"/>
                <w:sz w:val="14"/>
                <w:szCs w:val="14"/>
                <w:lang w:eastAsia="zh-CN"/>
              </w:rPr>
            </w:pPr>
            <w:r>
              <w:rPr>
                <w:rFonts w:hint="eastAsia" w:ascii="宋体" w:hAnsi="宋体" w:eastAsia="宋体" w:cs="宋体"/>
                <w:i w:val="0"/>
                <w:iCs w:val="0"/>
                <w:caps w:val="0"/>
                <w:color w:val="333333"/>
                <w:spacing w:val="0"/>
                <w:sz w:val="18"/>
                <w:szCs w:val="18"/>
                <w:lang w:val="en-US" w:eastAsia="zh-CN"/>
              </w:rPr>
              <w:t>0</w:t>
            </w:r>
          </w:p>
        </w:tc>
        <w:tc>
          <w:tcPr>
            <w:tcW w:w="379" w:type="dxa"/>
            <w:tcBorders>
              <w:top w:val="nil"/>
              <w:left w:val="nil"/>
              <w:bottom w:val="single" w:color="000000" w:sz="4" w:space="0"/>
              <w:right w:val="single" w:color="000000" w:sz="4" w:space="0"/>
            </w:tcBorders>
            <w:shd w:val="clear" w:color="auto" w:fill="FFFFFF"/>
            <w:tcMar>
              <w:top w:w="30" w:type="dxa"/>
              <w:left w:w="50" w:type="dxa"/>
              <w:bottom w:w="30" w:type="dxa"/>
              <w:right w:w="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379" w:type="dxa"/>
            <w:tcBorders>
              <w:top w:val="nil"/>
              <w:left w:val="nil"/>
              <w:bottom w:val="single" w:color="000000" w:sz="4" w:space="0"/>
              <w:right w:val="single" w:color="000000" w:sz="4" w:space="0"/>
            </w:tcBorders>
            <w:shd w:val="clear" w:color="auto" w:fill="FFFFFF"/>
            <w:tcMar>
              <w:top w:w="30" w:type="dxa"/>
              <w:left w:w="50" w:type="dxa"/>
              <w:bottom w:w="30" w:type="dxa"/>
              <w:right w:w="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469" w:type="dxa"/>
            <w:tcBorders>
              <w:top w:val="nil"/>
              <w:left w:val="nil"/>
              <w:bottom w:val="single" w:color="000000" w:sz="4" w:space="0"/>
              <w:right w:val="single" w:color="000000" w:sz="4" w:space="0"/>
            </w:tcBorders>
            <w:shd w:val="clear" w:color="auto" w:fill="FFFFFF"/>
            <w:tcMar>
              <w:top w:w="30" w:type="dxa"/>
              <w:left w:w="50" w:type="dxa"/>
              <w:bottom w:w="30" w:type="dxa"/>
              <w:right w:w="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379" w:type="dxa"/>
            <w:tcBorders>
              <w:top w:val="nil"/>
              <w:left w:val="nil"/>
              <w:bottom w:val="single" w:color="000000" w:sz="4" w:space="0"/>
              <w:right w:val="single" w:color="000000" w:sz="4" w:space="0"/>
            </w:tcBorders>
            <w:shd w:val="clear" w:color="auto" w:fill="FFFFFF"/>
            <w:tcMar>
              <w:top w:w="30" w:type="dxa"/>
              <w:left w:w="50" w:type="dxa"/>
              <w:bottom w:w="30" w:type="dxa"/>
              <w:right w:w="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rFonts w:hint="eastAsia" w:eastAsiaTheme="minorEastAsia"/>
                <w:sz w:val="14"/>
                <w:szCs w:val="14"/>
                <w:lang w:eastAsia="zh-CN"/>
              </w:rPr>
            </w:pPr>
            <w:r>
              <w:rPr>
                <w:rFonts w:hint="eastAsia" w:ascii="宋体" w:hAnsi="宋体" w:eastAsia="宋体" w:cs="宋体"/>
                <w:i w:val="0"/>
                <w:iCs w:val="0"/>
                <w:caps w:val="0"/>
                <w:color w:val="333333"/>
                <w:spacing w:val="0"/>
                <w:sz w:val="18"/>
                <w:szCs w:val="18"/>
                <w:lang w:val="en-US" w:eastAsia="zh-CN"/>
              </w:rPr>
              <w:t>0</w:t>
            </w:r>
          </w:p>
        </w:tc>
        <w:tc>
          <w:tcPr>
            <w:tcW w:w="470" w:type="dxa"/>
            <w:tcBorders>
              <w:top w:val="nil"/>
              <w:left w:val="nil"/>
              <w:bottom w:val="single" w:color="000000" w:sz="4" w:space="0"/>
              <w:right w:val="single" w:color="000000" w:sz="4" w:space="0"/>
            </w:tcBorders>
            <w:shd w:val="clear" w:color="auto" w:fill="FFFFFF"/>
            <w:tcMar>
              <w:top w:w="30" w:type="dxa"/>
              <w:left w:w="50" w:type="dxa"/>
              <w:bottom w:w="30" w:type="dxa"/>
              <w:right w:w="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rFonts w:hint="eastAsia" w:eastAsiaTheme="minorEastAsia"/>
                <w:sz w:val="14"/>
                <w:szCs w:val="14"/>
                <w:lang w:eastAsia="zh-CN"/>
              </w:rPr>
            </w:pPr>
            <w:r>
              <w:rPr>
                <w:rFonts w:hint="eastAsia" w:ascii="宋体" w:hAnsi="宋体" w:eastAsia="宋体" w:cs="宋体"/>
                <w:i w:val="0"/>
                <w:iCs w:val="0"/>
                <w:caps w:val="0"/>
                <w:color w:val="333333"/>
                <w:spacing w:val="0"/>
                <w:sz w:val="18"/>
                <w:szCs w:val="18"/>
                <w:lang w:val="en-US" w:eastAsia="zh-CN"/>
              </w:rPr>
              <w:t>0</w:t>
            </w:r>
          </w:p>
        </w:tc>
        <w:tc>
          <w:tcPr>
            <w:tcW w:w="380" w:type="dxa"/>
            <w:tcBorders>
              <w:top w:val="nil"/>
              <w:left w:val="nil"/>
              <w:bottom w:val="single" w:color="000000" w:sz="4" w:space="0"/>
              <w:right w:val="single" w:color="000000" w:sz="4" w:space="0"/>
            </w:tcBorders>
            <w:shd w:val="clear" w:color="auto" w:fill="FFFFFF"/>
            <w:tcMar>
              <w:top w:w="30" w:type="dxa"/>
              <w:left w:w="50" w:type="dxa"/>
              <w:bottom w:w="30" w:type="dxa"/>
              <w:right w:w="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380" w:type="dxa"/>
            <w:tcBorders>
              <w:top w:val="nil"/>
              <w:left w:val="nil"/>
              <w:bottom w:val="single" w:color="000000" w:sz="4" w:space="0"/>
              <w:right w:val="single" w:color="000000" w:sz="4" w:space="0"/>
            </w:tcBorders>
            <w:shd w:val="clear" w:color="auto" w:fill="FFFFFF"/>
            <w:tcMar>
              <w:top w:w="30" w:type="dxa"/>
              <w:left w:w="50" w:type="dxa"/>
              <w:bottom w:w="30" w:type="dxa"/>
              <w:right w:w="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380" w:type="dxa"/>
            <w:tcBorders>
              <w:top w:val="nil"/>
              <w:left w:val="nil"/>
              <w:bottom w:val="single" w:color="000000" w:sz="4" w:space="0"/>
              <w:right w:val="single" w:color="000000" w:sz="4" w:space="0"/>
            </w:tcBorders>
            <w:shd w:val="clear" w:color="auto" w:fill="FFFFFF"/>
            <w:tcMar>
              <w:top w:w="30" w:type="dxa"/>
              <w:left w:w="50" w:type="dxa"/>
              <w:bottom w:w="30" w:type="dxa"/>
              <w:right w:w="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sz w:val="14"/>
                <w:szCs w:val="14"/>
              </w:rPr>
            </w:pPr>
            <w:r>
              <w:rPr>
                <w:rFonts w:hint="eastAsia" w:ascii="宋体" w:hAnsi="宋体" w:eastAsia="宋体" w:cs="宋体"/>
                <w:i w:val="0"/>
                <w:iCs w:val="0"/>
                <w:caps w:val="0"/>
                <w:color w:val="333333"/>
                <w:spacing w:val="0"/>
                <w:sz w:val="18"/>
                <w:szCs w:val="18"/>
              </w:rPr>
              <w:t>0</w:t>
            </w:r>
          </w:p>
        </w:tc>
        <w:tc>
          <w:tcPr>
            <w:tcW w:w="380" w:type="dxa"/>
            <w:tcBorders>
              <w:top w:val="nil"/>
              <w:left w:val="nil"/>
              <w:bottom w:val="single" w:color="000000" w:sz="4" w:space="0"/>
              <w:right w:val="single" w:color="000000" w:sz="4" w:space="0"/>
            </w:tcBorders>
            <w:shd w:val="clear" w:color="auto" w:fill="FFFFFF"/>
            <w:tcMar>
              <w:top w:w="30" w:type="dxa"/>
              <w:left w:w="50" w:type="dxa"/>
              <w:bottom w:w="30" w:type="dxa"/>
              <w:right w:w="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jc w:val="center"/>
              <w:rPr>
                <w:rFonts w:hint="eastAsia" w:eastAsiaTheme="minorEastAsia"/>
                <w:sz w:val="14"/>
                <w:szCs w:val="14"/>
                <w:lang w:eastAsia="zh-CN"/>
              </w:rPr>
            </w:pPr>
            <w:r>
              <w:rPr>
                <w:rFonts w:hint="eastAsia" w:ascii="宋体" w:hAnsi="宋体" w:eastAsia="宋体" w:cs="宋体"/>
                <w:i w:val="0"/>
                <w:iCs w:val="0"/>
                <w:caps w:val="0"/>
                <w:color w:val="333333"/>
                <w:spacing w:val="0"/>
                <w:sz w:val="18"/>
                <w:szCs w:val="18"/>
                <w:lang w:val="en-US" w:eastAsia="zh-CN"/>
              </w:rPr>
              <w:t>0</w:t>
            </w:r>
          </w:p>
        </w:tc>
      </w:tr>
    </w:tbl>
    <w:p>
      <w:pPr>
        <w:rPr>
          <w:rFonts w:hint="eastAsia"/>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五、存在的主要问题及改进情况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sz w:val="32"/>
          <w:szCs w:val="32"/>
          <w:lang w:val="en-US" w:eastAsia="zh-CN"/>
        </w:rPr>
      </w:pPr>
      <w:r>
        <w:rPr>
          <w:rFonts w:hint="eastAsia"/>
          <w:sz w:val="32"/>
          <w:szCs w:val="32"/>
          <w:lang w:val="en-US" w:eastAsia="zh-CN"/>
        </w:rPr>
        <w:t>市退役军人事务局在政务公开工作上取得了一定的成效和经验，但与新的任务要求相比，仍有差距和不足，与上级决策部署和要求还有一定的偏差。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（一）存在的主要问题</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sz w:val="32"/>
          <w:szCs w:val="32"/>
          <w:lang w:val="en-US" w:eastAsia="zh-CN"/>
        </w:rPr>
      </w:pPr>
      <w:r>
        <w:rPr>
          <w:rFonts w:hint="eastAsia"/>
          <w:sz w:val="32"/>
          <w:szCs w:val="32"/>
          <w:lang w:val="en-US" w:eastAsia="zh-CN"/>
        </w:rPr>
        <w:t>1.政府信息公开范围不够广泛。有些政策信息涉退役军人群体，大多退役军人年龄偏大，在了解查询相关信息方面还存在一定的局限性。同时，现有的公开渠道和方式方法在一定程度上制约着退役军人的了解范围。加之退役军人个别经历信息保密，在对外公开方面机制还需要进一步健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sz w:val="32"/>
          <w:szCs w:val="32"/>
          <w:lang w:val="en-US" w:eastAsia="zh-CN"/>
        </w:rPr>
      </w:pPr>
      <w:r>
        <w:rPr>
          <w:rFonts w:hint="eastAsia"/>
          <w:sz w:val="32"/>
          <w:szCs w:val="32"/>
          <w:lang w:val="en-US" w:eastAsia="zh-CN"/>
        </w:rPr>
        <w:t>2.政府信息政策解读的形式比较单一。只注重了文字的解读，不重视其他易于喜闻乐见的解读方式，如运用漫画、专家解读、媒体解读、视频解读等让广大人民群众更便捷理解的解读形式还存在差距和不足。</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sz w:val="32"/>
          <w:szCs w:val="32"/>
          <w:lang w:val="en-US" w:eastAsia="zh-CN"/>
        </w:rPr>
      </w:pPr>
      <w:r>
        <w:rPr>
          <w:rFonts w:hint="eastAsia"/>
          <w:sz w:val="32"/>
          <w:szCs w:val="32"/>
          <w:lang w:val="en-US" w:eastAsia="zh-CN"/>
        </w:rPr>
        <w:t>3.政务公开的教育培训还不到位。各科室、单位都确定了专职政务公开工作人员，但受业务和专业限制，在政务公开培训学习上下的功夫还不够，存在培训时间短、人员参与少，内容覆盖面窄等问题。</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（二）改进情况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sz w:val="32"/>
          <w:szCs w:val="32"/>
          <w:lang w:val="en-US" w:eastAsia="zh-CN"/>
        </w:rPr>
      </w:pPr>
      <w:r>
        <w:rPr>
          <w:rFonts w:hint="eastAsia"/>
          <w:sz w:val="32"/>
          <w:szCs w:val="32"/>
          <w:lang w:val="en-US" w:eastAsia="zh-CN"/>
        </w:rPr>
        <w:t>1.强化业务能力。将政务公开工作纳入科室考核范畴，明确责任人，强化认识。定期组织政务公开培训，安排政务公开规划计划，提高政务公开透明度。</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sz w:val="32"/>
          <w:szCs w:val="32"/>
          <w:lang w:val="en-US" w:eastAsia="zh-CN"/>
        </w:rPr>
      </w:pPr>
      <w:r>
        <w:rPr>
          <w:rFonts w:hint="eastAsia"/>
          <w:sz w:val="32"/>
          <w:szCs w:val="32"/>
          <w:lang w:val="en-US" w:eastAsia="zh-CN"/>
        </w:rPr>
        <w:t>2.加强平台建设。结合退役军人期盼的现实问题，构建易于检索、便于查找、适宜扩散的政策信息板块，打造特色亮点。优化门户网站办事咨询、互动交流、调查征集等栏目功能，打造“畅聊”新媒体平台品牌阵地，有效汇聚政务服务资源，提升便民服务水平。</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sz w:val="32"/>
          <w:szCs w:val="32"/>
          <w:lang w:val="en-US" w:eastAsia="zh-CN"/>
        </w:rPr>
      </w:pPr>
      <w:r>
        <w:rPr>
          <w:rFonts w:hint="eastAsia"/>
          <w:sz w:val="32"/>
          <w:szCs w:val="32"/>
          <w:lang w:val="en-US" w:eastAsia="zh-CN"/>
        </w:rPr>
        <w:t>3.提升解读质量。认真做好文件集中公开和数据联通，规范发布政策文件、重大工程、执法信息等法定主动公开内容，创新政策解读形式，加大多角度解读力度，深入开展政策评价。同时，开展政务公开事项“回头看”，梳理项目事项，逐一列出公开子项目，进一步查找缺项漏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iCs w:val="0"/>
          <w:caps w:val="0"/>
          <w:color w:val="606060"/>
          <w:spacing w:val="0"/>
          <w:sz w:val="32"/>
          <w:szCs w:val="32"/>
        </w:rPr>
      </w:pPr>
      <w:r>
        <w:rPr>
          <w:rStyle w:val="11"/>
          <w:rFonts w:hint="eastAsia" w:ascii="黑体" w:hAnsi="黑体" w:eastAsia="黑体" w:cs="黑体"/>
          <w:b w:val="0"/>
          <w:bCs w:val="0"/>
          <w:i w:val="0"/>
          <w:iCs w:val="0"/>
          <w:caps w:val="0"/>
          <w:color w:val="333333"/>
          <w:spacing w:val="0"/>
          <w:sz w:val="32"/>
          <w:szCs w:val="32"/>
          <w:shd w:val="clear" w:fill="FFFFFF"/>
        </w:rPr>
        <w:t>六、其他需要报告的事项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sz w:val="32"/>
          <w:szCs w:val="32"/>
          <w:lang w:val="en-US" w:eastAsia="zh-CN"/>
        </w:rPr>
      </w:pPr>
      <w:r>
        <w:rPr>
          <w:rFonts w:hint="eastAsia"/>
          <w:sz w:val="32"/>
          <w:szCs w:val="32"/>
          <w:lang w:val="en-US" w:eastAsia="zh-CN"/>
        </w:rPr>
        <w:t>（一）收取信息处理费情况。2023年，市退役军人事务局严格按照《中华人民共和国政府信息公开条例》办理政府信息公开申请，认真落实《政府信息公开信息处理费管理办法》规定，未收取信息处理费用。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sz w:val="32"/>
          <w:szCs w:val="32"/>
          <w:lang w:val="en-US" w:eastAsia="zh-CN"/>
        </w:rPr>
      </w:pPr>
      <w:r>
        <w:rPr>
          <w:rFonts w:hint="eastAsia"/>
          <w:sz w:val="32"/>
          <w:szCs w:val="32"/>
          <w:lang w:val="en-US" w:eastAsia="zh-CN"/>
        </w:rPr>
        <w:t>（二）落实2023年聊城市政务公开工作要点情况。认真贯彻落实《2023年聊城市政务公开工作要点》，召开政务公开会议进行专门安排部署，实行责任化、清单化管理。将政务公开纳入各科室（单位）考核要点，加强统筹协调,确保各项任务落实落地。</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sz w:val="32"/>
          <w:szCs w:val="32"/>
          <w:lang w:val="en-US" w:eastAsia="zh-CN"/>
        </w:rPr>
      </w:pPr>
      <w:r>
        <w:rPr>
          <w:rFonts w:hint="eastAsia"/>
          <w:sz w:val="32"/>
          <w:szCs w:val="32"/>
          <w:lang w:val="en-US" w:eastAsia="zh-CN"/>
        </w:rPr>
        <w:t>（三）人大代表建议和政协提案办理结果公开情况。积极做好人大代表建议和政协委员提案办理结果公开工作，2023年，公开人大代表建议办理复文0件，政协委员提案办理0件。</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sz w:val="32"/>
          <w:szCs w:val="32"/>
          <w:lang w:val="en-US" w:eastAsia="zh-CN"/>
        </w:rPr>
      </w:pPr>
      <w:r>
        <w:rPr>
          <w:rFonts w:hint="eastAsia"/>
          <w:sz w:val="32"/>
          <w:szCs w:val="32"/>
          <w:lang w:val="en-US" w:eastAsia="zh-CN"/>
        </w:rPr>
        <w:t>（四）年度政务公开工作创新情况。加大退役军人工作政务公开力度，做好信息公开保障，推动在服务保障退役军人各项工作中落实公开要求、保障公开机制、共享公开成果。关注退役军人“急难愁盼”问题，打造“老兵说老兵”“白云热线”等特色栏目，加大公众参与力度，</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firstLine="4588" w:firstLineChars="1434"/>
        <w:textAlignment w:val="auto"/>
        <w:rPr>
          <w:rFonts w:hint="eastAsia"/>
          <w:sz w:val="32"/>
          <w:szCs w:val="32"/>
          <w:lang w:val="en-US" w:eastAsia="zh-CN"/>
        </w:rPr>
      </w:pPr>
      <w:r>
        <w:rPr>
          <w:rFonts w:hint="eastAsia"/>
          <w:sz w:val="32"/>
          <w:szCs w:val="32"/>
          <w:lang w:val="en-US" w:eastAsia="zh-CN"/>
        </w:rPr>
        <w:t>聊城市退役军人事务局</w:t>
      </w:r>
    </w:p>
    <w:p>
      <w:pPr>
        <w:pStyle w:val="2"/>
        <w:keepNext w:val="0"/>
        <w:keepLines w:val="0"/>
        <w:pageBreakBefore w:val="0"/>
        <w:kinsoku/>
        <w:wordWrap/>
        <w:overflowPunct/>
        <w:topLinePunct w:val="0"/>
        <w:autoSpaceDE/>
        <w:autoSpaceDN/>
        <w:bidi w:val="0"/>
        <w:adjustRightInd/>
        <w:snapToGrid/>
        <w:spacing w:line="560" w:lineRule="exact"/>
        <w:ind w:firstLine="4908" w:firstLineChars="1534"/>
        <w:textAlignment w:val="auto"/>
        <w:rPr>
          <w:rFonts w:hint="default"/>
          <w:sz w:val="32"/>
          <w:szCs w:val="32"/>
          <w:lang w:val="en-US" w:eastAsia="zh-CN"/>
        </w:rPr>
      </w:pPr>
      <w:r>
        <w:rPr>
          <w:rFonts w:hint="eastAsia"/>
          <w:sz w:val="32"/>
          <w:szCs w:val="32"/>
          <w:lang w:val="en-US" w:eastAsia="zh-CN"/>
        </w:rPr>
        <w:t>2024年1月28日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yMDNiNDU1ZTE0MjI2ZTg5MmRmM2VmNjQ0ZGQyOTUifQ=="/>
  </w:docVars>
  <w:rsids>
    <w:rsidRoot w:val="00000000"/>
    <w:rsid w:val="004F538E"/>
    <w:rsid w:val="0096485E"/>
    <w:rsid w:val="05F66B65"/>
    <w:rsid w:val="062E0891"/>
    <w:rsid w:val="075C66A3"/>
    <w:rsid w:val="08A20F81"/>
    <w:rsid w:val="0B8D288B"/>
    <w:rsid w:val="0BBA1199"/>
    <w:rsid w:val="0BD73A7A"/>
    <w:rsid w:val="0C447B69"/>
    <w:rsid w:val="0C9B1842"/>
    <w:rsid w:val="0DBF0B25"/>
    <w:rsid w:val="0FBF0757"/>
    <w:rsid w:val="105060BC"/>
    <w:rsid w:val="12A77A08"/>
    <w:rsid w:val="144624CC"/>
    <w:rsid w:val="15B93994"/>
    <w:rsid w:val="16B159CB"/>
    <w:rsid w:val="18303A1C"/>
    <w:rsid w:val="19620BB5"/>
    <w:rsid w:val="1A325096"/>
    <w:rsid w:val="1A7D723B"/>
    <w:rsid w:val="1B527357"/>
    <w:rsid w:val="1C874958"/>
    <w:rsid w:val="2133559C"/>
    <w:rsid w:val="230B0DA6"/>
    <w:rsid w:val="23B0469D"/>
    <w:rsid w:val="23D81FDE"/>
    <w:rsid w:val="24AC19D8"/>
    <w:rsid w:val="274A6758"/>
    <w:rsid w:val="29A1252F"/>
    <w:rsid w:val="2C175A7F"/>
    <w:rsid w:val="2D491A5B"/>
    <w:rsid w:val="2F2017DF"/>
    <w:rsid w:val="311E72A0"/>
    <w:rsid w:val="34315E68"/>
    <w:rsid w:val="346A0031"/>
    <w:rsid w:val="37F93E62"/>
    <w:rsid w:val="3A322AAA"/>
    <w:rsid w:val="3DD30BBF"/>
    <w:rsid w:val="3EDF00F3"/>
    <w:rsid w:val="404D1264"/>
    <w:rsid w:val="40797000"/>
    <w:rsid w:val="41F176C8"/>
    <w:rsid w:val="427D7304"/>
    <w:rsid w:val="43DE4E07"/>
    <w:rsid w:val="440B474F"/>
    <w:rsid w:val="45CD1D99"/>
    <w:rsid w:val="46DD782F"/>
    <w:rsid w:val="47971294"/>
    <w:rsid w:val="494749C4"/>
    <w:rsid w:val="49B34506"/>
    <w:rsid w:val="4FFA3F28"/>
    <w:rsid w:val="50196996"/>
    <w:rsid w:val="51B16760"/>
    <w:rsid w:val="51F06B11"/>
    <w:rsid w:val="53436E4B"/>
    <w:rsid w:val="53FD3F0D"/>
    <w:rsid w:val="54A84CC5"/>
    <w:rsid w:val="596F7FE6"/>
    <w:rsid w:val="5AAA2A2E"/>
    <w:rsid w:val="5B8464BB"/>
    <w:rsid w:val="60407B15"/>
    <w:rsid w:val="60522D9C"/>
    <w:rsid w:val="61BA0551"/>
    <w:rsid w:val="630715E2"/>
    <w:rsid w:val="643C688A"/>
    <w:rsid w:val="679B3EF8"/>
    <w:rsid w:val="6954517F"/>
    <w:rsid w:val="6F3B104C"/>
    <w:rsid w:val="6F747CC8"/>
    <w:rsid w:val="70450FA1"/>
    <w:rsid w:val="70F00B89"/>
    <w:rsid w:val="721473D5"/>
    <w:rsid w:val="73316258"/>
    <w:rsid w:val="74513586"/>
    <w:rsid w:val="759473CB"/>
    <w:rsid w:val="763355B4"/>
    <w:rsid w:val="77D335B3"/>
    <w:rsid w:val="7988274A"/>
    <w:rsid w:val="799A6D1F"/>
    <w:rsid w:val="7BB63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660" w:lineRule="exact"/>
      <w:ind w:firstLine="705"/>
    </w:pPr>
    <w:rPr>
      <w:rFonts w:ascii="仿宋_GB2312" w:hAnsi="Times New Roman" w:eastAsia="仿宋_GB2312" w:cs="Times New Roman"/>
      <w:color w:val="000000"/>
      <w:sz w:val="36"/>
      <w:szCs w:val="36"/>
    </w:rPr>
  </w:style>
  <w:style w:type="paragraph" w:styleId="5">
    <w:name w:val="Body Text Indent"/>
    <w:basedOn w:val="1"/>
    <w:qFormat/>
    <w:uiPriority w:val="0"/>
    <w:pPr>
      <w:ind w:firstLine="640" w:firstLineChars="200"/>
    </w:pPr>
    <w:rPr>
      <w:rFonts w:ascii="仿宋_GB2312" w:hAnsi="Times New Roman"/>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5"/>
    <w:next w:val="1"/>
    <w:qFormat/>
    <w:uiPriority w:val="99"/>
    <w:pPr>
      <w:spacing w:line="560" w:lineRule="exact"/>
      <w:ind w:firstLine="420" w:firstLineChars="200"/>
    </w:pPr>
  </w:style>
  <w:style w:type="character" w:styleId="11">
    <w:name w:val="Strong"/>
    <w:basedOn w:val="10"/>
    <w:qFormat/>
    <w:uiPriority w:val="0"/>
    <w:rPr>
      <w:b/>
    </w:rPr>
  </w:style>
  <w:style w:type="character" w:styleId="12">
    <w:name w:val="Emphasis"/>
    <w:basedOn w:val="10"/>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3099</Words>
  <Characters>3171</Characters>
  <Lines>0</Lines>
  <Paragraphs>0</Paragraphs>
  <TotalTime>13</TotalTime>
  <ScaleCrop>false</ScaleCrop>
  <LinksUpToDate>false</LinksUpToDate>
  <CharactersWithSpaces>3173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2022-06-16T01:02:00Z</dcterms:created>
  <dc:creator>Lenovo</dc:creator>
  <cp:lastModifiedBy>Lenovo</cp:lastModifiedBy>
  <dcterms:modified xsi:type="dcterms:W3CDTF">2024-06-12T01:29:54Z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8750D97ABAFA4AC8BF82BFA642F284EC</vt:lpwstr>
  </property>
</Properties>
</file>